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E05" w:rsidRPr="006719D8" w:rsidRDefault="006719D8" w:rsidP="006719D8">
      <w:pPr>
        <w:jc w:val="center"/>
        <w:rPr>
          <w:rFonts w:ascii="Georgia" w:hAnsi="Georgia"/>
          <w:b/>
          <w:sz w:val="24"/>
          <w:szCs w:val="24"/>
          <w:lang w:val="cs-CZ"/>
        </w:rPr>
      </w:pPr>
      <w:bookmarkStart w:id="0" w:name="_GoBack"/>
      <w:bookmarkEnd w:id="0"/>
      <w:r w:rsidRPr="006719D8">
        <w:rPr>
          <w:rFonts w:ascii="Georgia" w:hAnsi="Georgia"/>
          <w:b/>
          <w:sz w:val="24"/>
          <w:szCs w:val="24"/>
          <w:lang w:val="cs-CZ"/>
        </w:rPr>
        <w:t xml:space="preserve">POSUDEK OPONENTA </w:t>
      </w:r>
      <w:r w:rsidR="00256500">
        <w:rPr>
          <w:rFonts w:ascii="Georgia" w:hAnsi="Georgia"/>
          <w:b/>
          <w:sz w:val="24"/>
          <w:szCs w:val="24"/>
          <w:lang w:val="cs-CZ"/>
        </w:rPr>
        <w:t xml:space="preserve">DIPLOMOVÉ </w:t>
      </w:r>
      <w:r w:rsidRPr="006719D8">
        <w:rPr>
          <w:rFonts w:ascii="Georgia" w:hAnsi="Georgia"/>
          <w:b/>
          <w:sz w:val="24"/>
          <w:szCs w:val="24"/>
          <w:lang w:val="cs-CZ"/>
        </w:rPr>
        <w:t>PRÁCE</w:t>
      </w:r>
    </w:p>
    <w:p w:rsidR="006719D8" w:rsidRDefault="006719D8" w:rsidP="006719D8">
      <w:pPr>
        <w:ind w:left="1985" w:hanging="1985"/>
        <w:rPr>
          <w:rFonts w:ascii="Georgia" w:hAnsi="Georgia"/>
          <w:sz w:val="24"/>
          <w:szCs w:val="24"/>
          <w:lang w:val="cs-CZ"/>
        </w:rPr>
      </w:pPr>
    </w:p>
    <w:p w:rsidR="006719D8" w:rsidRDefault="006719D8" w:rsidP="006719D8">
      <w:pPr>
        <w:ind w:left="1985" w:hanging="1985"/>
        <w:rPr>
          <w:rFonts w:ascii="Georgia" w:hAnsi="Georgia"/>
          <w:sz w:val="24"/>
          <w:szCs w:val="24"/>
          <w:lang w:val="cs-CZ"/>
        </w:rPr>
      </w:pPr>
      <w:r>
        <w:rPr>
          <w:rFonts w:ascii="Georgia" w:hAnsi="Georgia"/>
          <w:sz w:val="24"/>
          <w:szCs w:val="24"/>
          <w:lang w:val="cs-CZ"/>
        </w:rPr>
        <w:t>Název práce:</w:t>
      </w:r>
      <w:r>
        <w:rPr>
          <w:rFonts w:ascii="Georgia" w:hAnsi="Georgia"/>
          <w:sz w:val="24"/>
          <w:szCs w:val="24"/>
          <w:lang w:val="cs-CZ"/>
        </w:rPr>
        <w:tab/>
      </w:r>
      <w:r w:rsidR="009F50CD" w:rsidRPr="009F50CD">
        <w:rPr>
          <w:rFonts w:ascii="Georgia" w:hAnsi="Georgia"/>
          <w:b/>
          <w:sz w:val="24"/>
          <w:szCs w:val="24"/>
          <w:lang w:val="cs-CZ"/>
        </w:rPr>
        <w:t>Princip precedentu v angloamerickém právu</w:t>
      </w:r>
    </w:p>
    <w:p w:rsidR="006719D8" w:rsidRDefault="006719D8" w:rsidP="006719D8">
      <w:pPr>
        <w:ind w:left="1985" w:hanging="1985"/>
        <w:rPr>
          <w:rFonts w:ascii="Georgia" w:hAnsi="Georgia"/>
          <w:sz w:val="24"/>
          <w:szCs w:val="24"/>
          <w:lang w:val="cs-CZ"/>
        </w:rPr>
      </w:pPr>
      <w:r>
        <w:rPr>
          <w:rFonts w:ascii="Georgia" w:hAnsi="Georgia"/>
          <w:sz w:val="24"/>
          <w:szCs w:val="24"/>
          <w:lang w:val="cs-CZ"/>
        </w:rPr>
        <w:t xml:space="preserve">Autor práce: </w:t>
      </w:r>
      <w:r>
        <w:rPr>
          <w:rFonts w:ascii="Georgia" w:hAnsi="Georgia"/>
          <w:sz w:val="24"/>
          <w:szCs w:val="24"/>
          <w:lang w:val="cs-CZ"/>
        </w:rPr>
        <w:tab/>
      </w:r>
      <w:r w:rsidR="009F50CD">
        <w:rPr>
          <w:rFonts w:ascii="Georgia" w:hAnsi="Georgia"/>
          <w:b/>
          <w:sz w:val="24"/>
          <w:szCs w:val="24"/>
          <w:lang w:val="cs-CZ"/>
        </w:rPr>
        <w:t>Jiří Beránek</w:t>
      </w:r>
    </w:p>
    <w:p w:rsidR="006719D8" w:rsidRDefault="006719D8" w:rsidP="006719D8">
      <w:pPr>
        <w:ind w:left="1985" w:hanging="1985"/>
        <w:rPr>
          <w:rFonts w:ascii="Georgia" w:hAnsi="Georgia"/>
          <w:sz w:val="24"/>
          <w:szCs w:val="24"/>
          <w:lang w:val="cs-CZ"/>
        </w:rPr>
      </w:pPr>
      <w:r>
        <w:rPr>
          <w:rFonts w:ascii="Georgia" w:hAnsi="Georgia"/>
          <w:sz w:val="24"/>
          <w:szCs w:val="24"/>
          <w:lang w:val="cs-CZ"/>
        </w:rPr>
        <w:t xml:space="preserve">Vedoucí práce: </w:t>
      </w:r>
      <w:r>
        <w:rPr>
          <w:rFonts w:ascii="Georgia" w:hAnsi="Georgia"/>
          <w:sz w:val="24"/>
          <w:szCs w:val="24"/>
          <w:lang w:val="cs-CZ"/>
        </w:rPr>
        <w:tab/>
      </w:r>
      <w:r w:rsidR="009F50CD">
        <w:rPr>
          <w:rFonts w:ascii="Georgia" w:hAnsi="Georgia"/>
          <w:sz w:val="24"/>
          <w:szCs w:val="24"/>
          <w:lang w:val="cs-CZ"/>
        </w:rPr>
        <w:t>JUDr. Michal Šejvl</w:t>
      </w:r>
      <w:r w:rsidR="00D70606">
        <w:rPr>
          <w:rFonts w:ascii="Georgia" w:hAnsi="Georgia"/>
          <w:sz w:val="24"/>
          <w:szCs w:val="24"/>
          <w:lang w:val="cs-CZ"/>
        </w:rPr>
        <w:t xml:space="preserve">, </w:t>
      </w:r>
      <w:r w:rsidR="00256500">
        <w:rPr>
          <w:rFonts w:ascii="Georgia" w:hAnsi="Georgia"/>
          <w:sz w:val="24"/>
          <w:szCs w:val="24"/>
          <w:lang w:val="cs-CZ"/>
        </w:rPr>
        <w:t>Ph.D.</w:t>
      </w:r>
    </w:p>
    <w:p w:rsidR="006719D8" w:rsidRPr="00C61F4E" w:rsidRDefault="006719D8" w:rsidP="006719D8">
      <w:pPr>
        <w:ind w:left="1985" w:hanging="1985"/>
        <w:rPr>
          <w:rFonts w:ascii="Georgia" w:hAnsi="Georgia"/>
          <w:b/>
          <w:sz w:val="24"/>
          <w:szCs w:val="24"/>
          <w:lang w:val="cs-CZ"/>
        </w:rPr>
      </w:pPr>
      <w:r w:rsidRPr="00C61F4E">
        <w:rPr>
          <w:rFonts w:ascii="Georgia" w:hAnsi="Georgia"/>
          <w:sz w:val="24"/>
          <w:szCs w:val="24"/>
          <w:lang w:val="cs-CZ"/>
        </w:rPr>
        <w:t>Oponent práce:</w:t>
      </w:r>
      <w:r w:rsidRPr="00C61F4E">
        <w:rPr>
          <w:rFonts w:ascii="Georgia" w:hAnsi="Georgia"/>
          <w:b/>
          <w:sz w:val="24"/>
          <w:szCs w:val="24"/>
          <w:lang w:val="cs-CZ"/>
        </w:rPr>
        <w:tab/>
        <w:t xml:space="preserve">JUDr. Bc. Peter </w:t>
      </w:r>
      <w:proofErr w:type="spellStart"/>
      <w:r w:rsidRPr="00C61F4E">
        <w:rPr>
          <w:rFonts w:ascii="Georgia" w:hAnsi="Georgia"/>
          <w:b/>
          <w:sz w:val="24"/>
          <w:szCs w:val="24"/>
          <w:lang w:val="cs-CZ"/>
        </w:rPr>
        <w:t>Brezina</w:t>
      </w:r>
      <w:proofErr w:type="spellEnd"/>
      <w:r w:rsidRPr="00C61F4E">
        <w:rPr>
          <w:rFonts w:ascii="Georgia" w:hAnsi="Georgia"/>
          <w:b/>
          <w:sz w:val="24"/>
          <w:szCs w:val="24"/>
          <w:lang w:val="cs-CZ"/>
        </w:rPr>
        <w:t>, Ph.D.</w:t>
      </w:r>
    </w:p>
    <w:p w:rsidR="00C61F4E" w:rsidRDefault="00C61F4E" w:rsidP="006719D8">
      <w:pPr>
        <w:ind w:left="1985" w:hanging="1985"/>
        <w:rPr>
          <w:rFonts w:ascii="Georgia" w:hAnsi="Georgia"/>
          <w:sz w:val="24"/>
          <w:szCs w:val="24"/>
          <w:lang w:val="cs-CZ"/>
        </w:rPr>
      </w:pPr>
    </w:p>
    <w:p w:rsidR="00120A16" w:rsidRDefault="00991AA2" w:rsidP="00AE5DDC">
      <w:pPr>
        <w:spacing w:line="276" w:lineRule="auto"/>
        <w:ind w:firstLine="851"/>
        <w:jc w:val="both"/>
        <w:rPr>
          <w:rFonts w:ascii="Georgia" w:hAnsi="Georgia"/>
          <w:sz w:val="24"/>
          <w:szCs w:val="24"/>
          <w:lang w:val="cs-CZ"/>
        </w:rPr>
      </w:pPr>
      <w:r>
        <w:rPr>
          <w:rFonts w:ascii="Georgia" w:hAnsi="Georgia"/>
          <w:sz w:val="24"/>
          <w:szCs w:val="24"/>
          <w:lang w:val="cs-CZ"/>
        </w:rPr>
        <w:t xml:space="preserve">Jiří Beránek předložil k posouzení zajímavou práci na téma, které je českému právníkovi spíše vzdálené: precedent jakožto pramen práva v angloamerickém právu. Kladně hodnotím zájem o takto (v českém prostředí) nezvyklé téma, i </w:t>
      </w:r>
      <w:r w:rsidR="00411777">
        <w:rPr>
          <w:rFonts w:ascii="Georgia" w:hAnsi="Georgia"/>
          <w:sz w:val="24"/>
          <w:szCs w:val="24"/>
          <w:lang w:val="cs-CZ"/>
        </w:rPr>
        <w:t>snahu o jeho zpracování z široké škály pramenů. Práci ale velmi sráží několik závažných nedostatků, veskrze naprosto zbytečných.</w:t>
      </w:r>
    </w:p>
    <w:p w:rsidR="00411777" w:rsidRDefault="00411777" w:rsidP="00AE5DDC">
      <w:pPr>
        <w:spacing w:line="276" w:lineRule="auto"/>
        <w:ind w:firstLine="851"/>
        <w:jc w:val="both"/>
        <w:rPr>
          <w:rFonts w:ascii="Georgia" w:hAnsi="Georgia"/>
          <w:sz w:val="24"/>
          <w:szCs w:val="24"/>
          <w:lang w:val="cs-CZ"/>
        </w:rPr>
      </w:pPr>
      <w:r>
        <w:rPr>
          <w:rFonts w:ascii="Georgia" w:hAnsi="Georgia"/>
          <w:sz w:val="24"/>
          <w:szCs w:val="24"/>
          <w:lang w:val="cs-CZ"/>
        </w:rPr>
        <w:t xml:space="preserve">Tím hned prvním a do očí bijícím je nesprávná datace práce (!!!) – ačkoli ji autor v posuzované podobě odevzdal počátkem roku 2020, je na obálce i titulním listu (na který je nesprávně zařazeno prohlášení o samostatném </w:t>
      </w:r>
      <w:r w:rsidR="00FC641F">
        <w:rPr>
          <w:rFonts w:ascii="Georgia" w:hAnsi="Georgia"/>
          <w:sz w:val="24"/>
          <w:szCs w:val="24"/>
          <w:lang w:val="cs-CZ"/>
        </w:rPr>
        <w:t xml:space="preserve">vypracování práce) uveden rok 2018. </w:t>
      </w:r>
      <w:r w:rsidR="00B32CC4">
        <w:rPr>
          <w:rFonts w:ascii="Georgia" w:hAnsi="Georgia"/>
          <w:sz w:val="24"/>
          <w:szCs w:val="24"/>
          <w:lang w:val="cs-CZ"/>
        </w:rPr>
        <w:t>Nevím, zda je to technicky možné, ale autor by se měl pokusit tento formální nedostatek opravit.</w:t>
      </w:r>
    </w:p>
    <w:p w:rsidR="00B32CC4" w:rsidRDefault="00B32CC4" w:rsidP="00AE5DDC">
      <w:pPr>
        <w:spacing w:line="276" w:lineRule="auto"/>
        <w:ind w:firstLine="851"/>
        <w:jc w:val="both"/>
        <w:rPr>
          <w:rFonts w:ascii="Georgia" w:hAnsi="Georgia"/>
          <w:sz w:val="24"/>
          <w:szCs w:val="24"/>
          <w:lang w:val="cs-CZ"/>
        </w:rPr>
      </w:pPr>
      <w:r>
        <w:rPr>
          <w:rFonts w:ascii="Georgia" w:hAnsi="Georgia"/>
          <w:sz w:val="24"/>
          <w:szCs w:val="24"/>
          <w:lang w:val="cs-CZ"/>
        </w:rPr>
        <w:t>Dalším zásadním nedostatkem je velmi nepřehledná práce s citacemi, odkazy a cizojazyčnými slovy a frázemi – ty anglické autor obvykle ponechává bez kurzívy</w:t>
      </w:r>
      <w:r w:rsidR="00CE797C">
        <w:rPr>
          <w:rFonts w:ascii="Georgia" w:hAnsi="Georgia"/>
          <w:sz w:val="24"/>
          <w:szCs w:val="24"/>
          <w:lang w:val="cs-CZ"/>
        </w:rPr>
        <w:t>, latinské však do kurzívy dává</w:t>
      </w:r>
      <w:r w:rsidR="00BA4E37">
        <w:rPr>
          <w:rFonts w:ascii="Georgia" w:hAnsi="Georgia"/>
          <w:sz w:val="24"/>
          <w:szCs w:val="24"/>
          <w:lang w:val="cs-CZ"/>
        </w:rPr>
        <w:t xml:space="preserve"> (obojí však neplatí vždy – viz např. s. 24)</w:t>
      </w:r>
      <w:r w:rsidR="00CE797C">
        <w:rPr>
          <w:rFonts w:ascii="Georgia" w:hAnsi="Georgia"/>
          <w:sz w:val="24"/>
          <w:szCs w:val="24"/>
          <w:lang w:val="cs-CZ"/>
        </w:rPr>
        <w:t xml:space="preserve">; </w:t>
      </w:r>
      <w:r w:rsidR="00BA4E37">
        <w:rPr>
          <w:rFonts w:ascii="Georgia" w:hAnsi="Georgia"/>
          <w:sz w:val="24"/>
          <w:szCs w:val="24"/>
          <w:lang w:val="cs-CZ"/>
        </w:rPr>
        <w:t xml:space="preserve">citace rovněž obvykle uvádí bez kurzívy, opět však ne vždy (viz s. 27-28); </w:t>
      </w:r>
      <w:r w:rsidR="00F75218">
        <w:rPr>
          <w:rFonts w:ascii="Georgia" w:hAnsi="Georgia"/>
          <w:sz w:val="24"/>
          <w:szCs w:val="24"/>
          <w:lang w:val="cs-CZ"/>
        </w:rPr>
        <w:t>odkazuje obvykle správně, například v několikastránkové kapitole věnované koncepci N .</w:t>
      </w:r>
      <w:proofErr w:type="spellStart"/>
      <w:r w:rsidR="00F75218">
        <w:rPr>
          <w:rFonts w:ascii="Georgia" w:hAnsi="Georgia"/>
          <w:sz w:val="24"/>
          <w:szCs w:val="24"/>
          <w:lang w:val="cs-CZ"/>
        </w:rPr>
        <w:t>Duxburyho</w:t>
      </w:r>
      <w:proofErr w:type="spellEnd"/>
      <w:r w:rsidR="00F75218">
        <w:rPr>
          <w:rFonts w:ascii="Georgia" w:hAnsi="Georgia"/>
          <w:sz w:val="24"/>
          <w:szCs w:val="24"/>
          <w:lang w:val="cs-CZ"/>
        </w:rPr>
        <w:t xml:space="preserve"> (kterého navíc hned v prvním slovu překřtil na </w:t>
      </w:r>
      <w:proofErr w:type="spellStart"/>
      <w:r w:rsidR="00F75218">
        <w:rPr>
          <w:rFonts w:ascii="Georgia" w:hAnsi="Georgia"/>
          <w:sz w:val="24"/>
          <w:szCs w:val="24"/>
          <w:lang w:val="cs-CZ"/>
        </w:rPr>
        <w:t>Duxberyho</w:t>
      </w:r>
      <w:proofErr w:type="spellEnd"/>
      <w:r w:rsidR="00F75218">
        <w:rPr>
          <w:rFonts w:ascii="Georgia" w:hAnsi="Georgia"/>
          <w:sz w:val="24"/>
          <w:szCs w:val="24"/>
          <w:lang w:val="cs-CZ"/>
        </w:rPr>
        <w:t>) je však odkaz na dílo, o kterém se celou dobu mluví, až na samotném konci (viz s. 40-43)</w:t>
      </w:r>
      <w:r w:rsidR="00A961CC">
        <w:rPr>
          <w:rFonts w:ascii="Georgia" w:hAnsi="Georgia"/>
          <w:sz w:val="24"/>
          <w:szCs w:val="24"/>
          <w:lang w:val="cs-CZ"/>
        </w:rPr>
        <w:t>, a stejně tak je odkaz na Kuklíkovu monografii až na konci kapitol II.1 a II.2, ač obě obsahují dokonce přímé citace (bez odkazu)</w:t>
      </w:r>
      <w:r w:rsidR="00F75218">
        <w:rPr>
          <w:rFonts w:ascii="Georgia" w:hAnsi="Georgia"/>
          <w:sz w:val="24"/>
          <w:szCs w:val="24"/>
          <w:lang w:val="cs-CZ"/>
        </w:rPr>
        <w:t xml:space="preserve">. </w:t>
      </w:r>
    </w:p>
    <w:p w:rsidR="006F1945" w:rsidRDefault="007E7DBA" w:rsidP="00AE5DDC">
      <w:pPr>
        <w:spacing w:line="276" w:lineRule="auto"/>
        <w:ind w:firstLine="851"/>
        <w:jc w:val="both"/>
        <w:rPr>
          <w:rFonts w:ascii="Georgia" w:hAnsi="Georgia"/>
          <w:sz w:val="24"/>
          <w:szCs w:val="24"/>
          <w:lang w:val="cs-CZ"/>
        </w:rPr>
      </w:pPr>
      <w:r>
        <w:rPr>
          <w:rFonts w:ascii="Georgia" w:hAnsi="Georgia"/>
          <w:sz w:val="24"/>
          <w:szCs w:val="24"/>
          <w:lang w:val="cs-CZ"/>
        </w:rPr>
        <w:t xml:space="preserve">Třetím výrazným nedostatkem je nedodržení obsahu práce plynoucího ze zadání a názvu práce: až na jednu krátkou podkapitolu se autor věnuje pouze právu Spojeného království, a zcela tak pomíjí nejen </w:t>
      </w:r>
      <w:r w:rsidR="006F1945">
        <w:rPr>
          <w:rFonts w:ascii="Georgia" w:hAnsi="Georgia"/>
          <w:sz w:val="24"/>
          <w:szCs w:val="24"/>
          <w:lang w:val="cs-CZ"/>
        </w:rPr>
        <w:t xml:space="preserve">spíše okrajové jurisdikce (Austrálie, Jižní Afrika, atd.), ale i </w:t>
      </w:r>
      <w:r>
        <w:rPr>
          <w:rFonts w:ascii="Georgia" w:hAnsi="Georgia"/>
          <w:sz w:val="24"/>
          <w:szCs w:val="24"/>
          <w:lang w:val="cs-CZ"/>
        </w:rPr>
        <w:t xml:space="preserve">ono „americké“ právo, </w:t>
      </w:r>
      <w:r w:rsidR="006F1945">
        <w:rPr>
          <w:rFonts w:ascii="Georgia" w:hAnsi="Georgia"/>
          <w:sz w:val="24"/>
          <w:szCs w:val="24"/>
          <w:lang w:val="cs-CZ"/>
        </w:rPr>
        <w:t xml:space="preserve">které přitom v názvu zmiňuje. </w:t>
      </w:r>
    </w:p>
    <w:p w:rsidR="00324326" w:rsidRDefault="006F1945" w:rsidP="00AE5DDC">
      <w:pPr>
        <w:spacing w:line="276" w:lineRule="auto"/>
        <w:ind w:firstLine="851"/>
        <w:jc w:val="both"/>
        <w:rPr>
          <w:rFonts w:ascii="Georgia" w:hAnsi="Georgia"/>
          <w:sz w:val="24"/>
          <w:szCs w:val="24"/>
          <w:lang w:val="cs-CZ"/>
        </w:rPr>
      </w:pPr>
      <w:r>
        <w:rPr>
          <w:rFonts w:ascii="Georgia" w:hAnsi="Georgia"/>
          <w:sz w:val="24"/>
          <w:szCs w:val="24"/>
          <w:lang w:val="cs-CZ"/>
        </w:rPr>
        <w:t xml:space="preserve">Pokud jde o vlastní obsah práce (a </w:t>
      </w:r>
      <w:r w:rsidR="0066247D">
        <w:rPr>
          <w:rFonts w:ascii="Georgia" w:hAnsi="Georgia"/>
          <w:sz w:val="24"/>
          <w:szCs w:val="24"/>
          <w:lang w:val="cs-CZ"/>
        </w:rPr>
        <w:t xml:space="preserve">s výhradou výše již uvedených obecných nedostatků), jde o práci akceptovatelnou a místy až zdařilou. Autor precedenční právo prezentuje velmi komplexně a neopomíjí při tom ani jeho institucionální </w:t>
      </w:r>
      <w:r w:rsidR="007E1B54">
        <w:rPr>
          <w:rFonts w:ascii="Georgia" w:hAnsi="Georgia"/>
          <w:sz w:val="24"/>
          <w:szCs w:val="24"/>
          <w:lang w:val="cs-CZ"/>
        </w:rPr>
        <w:t>souvislosti, včetně zřízení Nejvyššího soudu Spojeného království. Bohužel ale zůstává omezen na kontext této země</w:t>
      </w:r>
      <w:r w:rsidR="003630A4">
        <w:rPr>
          <w:rFonts w:ascii="Georgia" w:hAnsi="Georgia"/>
          <w:sz w:val="24"/>
          <w:szCs w:val="24"/>
          <w:lang w:val="cs-CZ"/>
        </w:rPr>
        <w:t xml:space="preserve">, a to i v teoretických pasážích, kde by mohl čerpat </w:t>
      </w:r>
      <w:r w:rsidR="00324326">
        <w:rPr>
          <w:rFonts w:ascii="Georgia" w:hAnsi="Georgia"/>
          <w:sz w:val="24"/>
          <w:szCs w:val="24"/>
          <w:lang w:val="cs-CZ"/>
        </w:rPr>
        <w:t xml:space="preserve">i z české a slovenské produkce: </w:t>
      </w:r>
      <w:r w:rsidR="003630A4">
        <w:rPr>
          <w:rFonts w:ascii="Georgia" w:hAnsi="Georgia"/>
          <w:sz w:val="24"/>
          <w:szCs w:val="24"/>
          <w:lang w:val="cs-CZ"/>
        </w:rPr>
        <w:t xml:space="preserve">jednak z prací Z. </w:t>
      </w:r>
      <w:proofErr w:type="spellStart"/>
      <w:r w:rsidR="00324326">
        <w:rPr>
          <w:rFonts w:ascii="Georgia" w:hAnsi="Georgia"/>
          <w:sz w:val="24"/>
          <w:szCs w:val="24"/>
          <w:lang w:val="cs-CZ"/>
        </w:rPr>
        <w:t>Kühna</w:t>
      </w:r>
      <w:proofErr w:type="spellEnd"/>
      <w:r w:rsidR="00324326">
        <w:rPr>
          <w:rFonts w:ascii="Georgia" w:hAnsi="Georgia"/>
          <w:sz w:val="24"/>
          <w:szCs w:val="24"/>
          <w:lang w:val="cs-CZ"/>
        </w:rPr>
        <w:t xml:space="preserve">, jednak z monografie </w:t>
      </w:r>
      <w:proofErr w:type="spellStart"/>
      <w:r w:rsidR="00324326">
        <w:rPr>
          <w:rFonts w:ascii="Georgia" w:hAnsi="Georgia"/>
          <w:i/>
          <w:iCs/>
          <w:sz w:val="24"/>
          <w:szCs w:val="24"/>
          <w:lang w:val="cs-CZ"/>
        </w:rPr>
        <w:t>Prečo</w:t>
      </w:r>
      <w:proofErr w:type="spellEnd"/>
      <w:r w:rsidR="00324326">
        <w:rPr>
          <w:rFonts w:ascii="Georgia" w:hAnsi="Georgia"/>
          <w:i/>
          <w:iCs/>
          <w:sz w:val="24"/>
          <w:szCs w:val="24"/>
          <w:lang w:val="cs-CZ"/>
        </w:rPr>
        <w:t xml:space="preserve"> </w:t>
      </w:r>
      <w:proofErr w:type="spellStart"/>
      <w:r w:rsidR="00324326">
        <w:rPr>
          <w:rFonts w:ascii="Georgia" w:hAnsi="Georgia"/>
          <w:i/>
          <w:iCs/>
          <w:sz w:val="24"/>
          <w:szCs w:val="24"/>
          <w:lang w:val="cs-CZ"/>
        </w:rPr>
        <w:t>zotrvať</w:t>
      </w:r>
      <w:proofErr w:type="spellEnd"/>
      <w:r w:rsidR="00324326">
        <w:rPr>
          <w:rFonts w:ascii="Georgia" w:hAnsi="Georgia"/>
          <w:i/>
          <w:iCs/>
          <w:sz w:val="24"/>
          <w:szCs w:val="24"/>
          <w:lang w:val="cs-CZ"/>
        </w:rPr>
        <w:t xml:space="preserve"> při </w:t>
      </w:r>
      <w:proofErr w:type="spellStart"/>
      <w:r w:rsidR="00324326">
        <w:rPr>
          <w:rFonts w:ascii="Georgia" w:hAnsi="Georgia"/>
          <w:i/>
          <w:iCs/>
          <w:sz w:val="24"/>
          <w:szCs w:val="24"/>
          <w:lang w:val="cs-CZ"/>
        </w:rPr>
        <w:t>rozhodnutom</w:t>
      </w:r>
      <w:proofErr w:type="spellEnd"/>
      <w:r w:rsidR="00324326">
        <w:rPr>
          <w:rFonts w:ascii="Georgia" w:hAnsi="Georgia"/>
          <w:sz w:val="24"/>
          <w:szCs w:val="24"/>
          <w:lang w:val="cs-CZ"/>
        </w:rPr>
        <w:t xml:space="preserve"> z pera M. </w:t>
      </w:r>
      <w:proofErr w:type="spellStart"/>
      <w:r w:rsidR="00324326">
        <w:rPr>
          <w:rFonts w:ascii="Georgia" w:hAnsi="Georgia"/>
          <w:sz w:val="24"/>
          <w:szCs w:val="24"/>
          <w:lang w:val="cs-CZ"/>
        </w:rPr>
        <w:t>Káčera</w:t>
      </w:r>
      <w:proofErr w:type="spellEnd"/>
      <w:r w:rsidR="00324326">
        <w:rPr>
          <w:rFonts w:ascii="Georgia" w:hAnsi="Georgia"/>
          <w:sz w:val="24"/>
          <w:szCs w:val="24"/>
          <w:lang w:val="cs-CZ"/>
        </w:rPr>
        <w:t xml:space="preserve">, která v pražském nakladatelství </w:t>
      </w:r>
      <w:proofErr w:type="spellStart"/>
      <w:r w:rsidR="00324326">
        <w:rPr>
          <w:rFonts w:ascii="Georgia" w:hAnsi="Georgia"/>
          <w:sz w:val="24"/>
          <w:szCs w:val="24"/>
          <w:lang w:val="cs-CZ"/>
        </w:rPr>
        <w:t>Leges</w:t>
      </w:r>
      <w:proofErr w:type="spellEnd"/>
      <w:r w:rsidR="00324326">
        <w:rPr>
          <w:rFonts w:ascii="Georgia" w:hAnsi="Georgia"/>
          <w:sz w:val="24"/>
          <w:szCs w:val="24"/>
          <w:lang w:val="cs-CZ"/>
        </w:rPr>
        <w:t xml:space="preserve"> vyšla již v roce 2013 a tedy také není žádnou žhavou novinkou.</w:t>
      </w:r>
    </w:p>
    <w:p w:rsidR="007E7DBA" w:rsidRDefault="00324326" w:rsidP="00AE5DDC">
      <w:pPr>
        <w:spacing w:line="276" w:lineRule="auto"/>
        <w:ind w:firstLine="851"/>
        <w:jc w:val="both"/>
        <w:rPr>
          <w:rFonts w:ascii="Georgia" w:hAnsi="Georgia"/>
          <w:sz w:val="24"/>
          <w:szCs w:val="24"/>
          <w:lang w:val="cs-CZ"/>
        </w:rPr>
      </w:pPr>
      <w:r>
        <w:rPr>
          <w:rFonts w:ascii="Georgia" w:hAnsi="Georgia"/>
          <w:sz w:val="24"/>
          <w:szCs w:val="24"/>
          <w:lang w:val="cs-CZ"/>
        </w:rPr>
        <w:lastRenderedPageBreak/>
        <w:t xml:space="preserve">Na několika místech jsou přitom rovněž náznaky toho, že </w:t>
      </w:r>
      <w:r w:rsidR="00FE42DF">
        <w:rPr>
          <w:rFonts w:ascii="Georgia" w:hAnsi="Georgia"/>
          <w:sz w:val="24"/>
          <w:szCs w:val="24"/>
          <w:lang w:val="cs-CZ"/>
        </w:rPr>
        <w:t xml:space="preserve">dané problematice autor nerozumí zcela správně: odlišit </w:t>
      </w:r>
      <w:r w:rsidR="00FE42DF">
        <w:rPr>
          <w:rFonts w:ascii="Georgia" w:hAnsi="Georgia"/>
          <w:i/>
          <w:iCs/>
          <w:sz w:val="24"/>
          <w:szCs w:val="24"/>
          <w:lang w:val="cs-CZ"/>
        </w:rPr>
        <w:t xml:space="preserve">ratio </w:t>
      </w:r>
      <w:proofErr w:type="spellStart"/>
      <w:r w:rsidR="00FE42DF">
        <w:rPr>
          <w:rFonts w:ascii="Georgia" w:hAnsi="Georgia"/>
          <w:i/>
          <w:iCs/>
          <w:sz w:val="24"/>
          <w:szCs w:val="24"/>
          <w:lang w:val="cs-CZ"/>
        </w:rPr>
        <w:t>decidendi</w:t>
      </w:r>
      <w:proofErr w:type="spellEnd"/>
      <w:r w:rsidR="00FE42DF">
        <w:rPr>
          <w:rFonts w:ascii="Georgia" w:hAnsi="Georgia"/>
          <w:sz w:val="24"/>
          <w:szCs w:val="24"/>
          <w:lang w:val="cs-CZ"/>
        </w:rPr>
        <w:t xml:space="preserve"> od </w:t>
      </w:r>
      <w:proofErr w:type="spellStart"/>
      <w:r w:rsidR="00FE42DF">
        <w:rPr>
          <w:rFonts w:ascii="Georgia" w:hAnsi="Georgia"/>
          <w:i/>
          <w:iCs/>
          <w:sz w:val="24"/>
          <w:szCs w:val="24"/>
          <w:lang w:val="cs-CZ"/>
        </w:rPr>
        <w:t>obiter</w:t>
      </w:r>
      <w:proofErr w:type="spellEnd"/>
      <w:r w:rsidR="00FE42DF">
        <w:rPr>
          <w:rFonts w:ascii="Georgia" w:hAnsi="Georgia"/>
          <w:i/>
          <w:iCs/>
          <w:sz w:val="24"/>
          <w:szCs w:val="24"/>
          <w:lang w:val="cs-CZ"/>
        </w:rPr>
        <w:t xml:space="preserve"> </w:t>
      </w:r>
      <w:proofErr w:type="spellStart"/>
      <w:r w:rsidR="00FE42DF">
        <w:rPr>
          <w:rFonts w:ascii="Georgia" w:hAnsi="Georgia"/>
          <w:i/>
          <w:iCs/>
          <w:sz w:val="24"/>
          <w:szCs w:val="24"/>
          <w:lang w:val="cs-CZ"/>
        </w:rPr>
        <w:t>dictum</w:t>
      </w:r>
      <w:proofErr w:type="spellEnd"/>
      <w:r w:rsidR="00FE42DF">
        <w:rPr>
          <w:rFonts w:ascii="Georgia" w:hAnsi="Georgia"/>
          <w:sz w:val="24"/>
          <w:szCs w:val="24"/>
          <w:lang w:val="cs-CZ"/>
        </w:rPr>
        <w:t xml:space="preserve">, to není úkolem soudce rozsudek vytvářejícího, ale </w:t>
      </w:r>
      <w:r w:rsidR="009D1CBF">
        <w:rPr>
          <w:rFonts w:ascii="Georgia" w:hAnsi="Georgia"/>
          <w:sz w:val="24"/>
          <w:szCs w:val="24"/>
          <w:lang w:val="cs-CZ"/>
        </w:rPr>
        <w:t xml:space="preserve">teprve čtenáře onoho rozsudku, ať už jím je kdokoli (viz s. 25). Jde o věc interpretace, nikoli tvorby rozhodnutí! </w:t>
      </w:r>
    </w:p>
    <w:p w:rsidR="00C84467" w:rsidRDefault="009D1CBF" w:rsidP="00AE5DDC">
      <w:pPr>
        <w:spacing w:line="276" w:lineRule="auto"/>
        <w:ind w:firstLine="851"/>
        <w:jc w:val="both"/>
        <w:rPr>
          <w:rFonts w:ascii="Georgia" w:hAnsi="Georgia"/>
          <w:sz w:val="24"/>
          <w:szCs w:val="24"/>
          <w:lang w:val="cs-CZ"/>
        </w:rPr>
      </w:pPr>
      <w:r>
        <w:rPr>
          <w:rFonts w:ascii="Georgia" w:hAnsi="Georgia"/>
          <w:sz w:val="24"/>
          <w:szCs w:val="24"/>
          <w:lang w:val="cs-CZ"/>
        </w:rPr>
        <w:t xml:space="preserve">Práce trpí také nedostatky formálního rázu, byť méně závažnými: </w:t>
      </w:r>
      <w:r w:rsidR="00C84467">
        <w:rPr>
          <w:rFonts w:ascii="Georgia" w:hAnsi="Georgia"/>
          <w:sz w:val="24"/>
          <w:szCs w:val="24"/>
          <w:lang w:val="cs-CZ"/>
        </w:rPr>
        <w:t>v</w:t>
      </w:r>
      <w:r>
        <w:rPr>
          <w:rFonts w:ascii="Georgia" w:hAnsi="Georgia"/>
          <w:sz w:val="24"/>
          <w:szCs w:val="24"/>
          <w:lang w:val="cs-CZ"/>
        </w:rPr>
        <w:t xml:space="preserve"> „odrážkových“ seznam</w:t>
      </w:r>
      <w:r w:rsidR="00C84467">
        <w:rPr>
          <w:rFonts w:ascii="Georgia" w:hAnsi="Georgia"/>
          <w:sz w:val="24"/>
          <w:szCs w:val="24"/>
          <w:lang w:val="cs-CZ"/>
        </w:rPr>
        <w:t>ech</w:t>
      </w:r>
      <w:r>
        <w:rPr>
          <w:rFonts w:ascii="Georgia" w:hAnsi="Georgia"/>
          <w:sz w:val="24"/>
          <w:szCs w:val="24"/>
          <w:lang w:val="cs-CZ"/>
        </w:rPr>
        <w:t xml:space="preserve"> se bez vysvětlení vysk</w:t>
      </w:r>
      <w:r w:rsidR="00C84467">
        <w:rPr>
          <w:rFonts w:ascii="Georgia" w:hAnsi="Georgia"/>
          <w:sz w:val="24"/>
          <w:szCs w:val="24"/>
          <w:lang w:val="cs-CZ"/>
        </w:rPr>
        <w:t xml:space="preserve">ytují odrážky v podobě „šipek“ a „koleček“ (má jít o dvě různé úrovně? druhy? nebo pouze chybu?), poznámky pod čarou jsou někdy odděleny velkou mezerou (s. 8), jindy nikoli (s. 10, 18), </w:t>
      </w:r>
      <w:r w:rsidR="00A961CC">
        <w:rPr>
          <w:rFonts w:ascii="Georgia" w:hAnsi="Georgia"/>
          <w:sz w:val="24"/>
          <w:szCs w:val="24"/>
          <w:lang w:val="cs-CZ"/>
        </w:rPr>
        <w:t>velmi nepřehledné schéma na s. 24 není nijak označeno</w:t>
      </w:r>
      <w:r w:rsidR="006D383E">
        <w:rPr>
          <w:rFonts w:ascii="Georgia" w:hAnsi="Georgia"/>
          <w:sz w:val="24"/>
          <w:szCs w:val="24"/>
          <w:lang w:val="cs-CZ"/>
        </w:rPr>
        <w:t>, kapitola V je v práci jaksi „navíc“.</w:t>
      </w:r>
      <w:r w:rsidR="00C84467">
        <w:rPr>
          <w:rFonts w:ascii="Georgia" w:hAnsi="Georgia"/>
          <w:sz w:val="24"/>
          <w:szCs w:val="24"/>
          <w:lang w:val="cs-CZ"/>
        </w:rPr>
        <w:t xml:space="preserve"> </w:t>
      </w:r>
    </w:p>
    <w:p w:rsidR="00AE5DDC" w:rsidRPr="00AE5DDC" w:rsidRDefault="006D383E" w:rsidP="00AE5DDC">
      <w:pPr>
        <w:spacing w:line="276" w:lineRule="auto"/>
        <w:ind w:firstLine="851"/>
        <w:jc w:val="both"/>
        <w:rPr>
          <w:rFonts w:ascii="Georgia" w:hAnsi="Georgia"/>
          <w:b/>
          <w:sz w:val="24"/>
          <w:szCs w:val="24"/>
          <w:lang w:val="cs-CZ"/>
        </w:rPr>
      </w:pPr>
      <w:r>
        <w:rPr>
          <w:rFonts w:ascii="Georgia" w:hAnsi="Georgia"/>
          <w:sz w:val="24"/>
          <w:szCs w:val="24"/>
          <w:lang w:val="cs-CZ"/>
        </w:rPr>
        <w:t xml:space="preserve">Jak je zmíněno již na začátku tohoto posudku, jde ve valné většině o chyby a nedostatky zcela zbytečné, a autor se jim </w:t>
      </w:r>
      <w:r w:rsidR="00D76EF0">
        <w:rPr>
          <w:rFonts w:ascii="Georgia" w:hAnsi="Georgia"/>
          <w:sz w:val="24"/>
          <w:szCs w:val="24"/>
          <w:lang w:val="cs-CZ"/>
        </w:rPr>
        <w:t xml:space="preserve">mohl </w:t>
      </w:r>
      <w:r w:rsidR="0069075F">
        <w:rPr>
          <w:rFonts w:ascii="Georgia" w:hAnsi="Georgia"/>
          <w:sz w:val="24"/>
          <w:szCs w:val="24"/>
          <w:lang w:val="cs-CZ"/>
        </w:rPr>
        <w:t>snadno vyhnout, kdyby práci věnoval náležitou pozornost</w:t>
      </w:r>
      <w:r w:rsidR="00D76EF0">
        <w:rPr>
          <w:rFonts w:ascii="Georgia" w:hAnsi="Georgia"/>
          <w:sz w:val="24"/>
          <w:szCs w:val="24"/>
          <w:lang w:val="cs-CZ"/>
        </w:rPr>
        <w:t xml:space="preserve">. Tím spíše, že její nesprávná datace napovídá, že na ní již nějakou, nikoli krátkou, dobu pracoval. Proto, ačkoli by práce jinak měla potenciál být velmi dobrou až vynikající, navrhuji hodnotit ji pouze známkou </w:t>
      </w:r>
      <w:r w:rsidR="00127CA1">
        <w:rPr>
          <w:rFonts w:ascii="Georgia" w:hAnsi="Georgia"/>
          <w:b/>
          <w:sz w:val="24"/>
          <w:szCs w:val="24"/>
          <w:lang w:val="cs-CZ"/>
        </w:rPr>
        <w:t xml:space="preserve">dobře </w:t>
      </w:r>
      <w:r w:rsidR="00293F9E">
        <w:rPr>
          <w:rFonts w:ascii="Georgia" w:hAnsi="Georgia"/>
          <w:b/>
          <w:sz w:val="24"/>
          <w:szCs w:val="24"/>
          <w:lang w:val="cs-CZ"/>
        </w:rPr>
        <w:t>(</w:t>
      </w:r>
      <w:r w:rsidR="00D76EF0">
        <w:rPr>
          <w:rFonts w:ascii="Georgia" w:hAnsi="Georgia"/>
          <w:b/>
          <w:sz w:val="24"/>
          <w:szCs w:val="24"/>
          <w:lang w:val="cs-CZ"/>
        </w:rPr>
        <w:t>3</w:t>
      </w:r>
      <w:r w:rsidR="00293F9E">
        <w:rPr>
          <w:rFonts w:ascii="Georgia" w:hAnsi="Georgia"/>
          <w:b/>
          <w:sz w:val="24"/>
          <w:szCs w:val="24"/>
          <w:lang w:val="cs-CZ"/>
        </w:rPr>
        <w:t>)</w:t>
      </w:r>
      <w:r w:rsidR="00293F9E">
        <w:rPr>
          <w:rFonts w:ascii="Georgia" w:hAnsi="Georgia"/>
          <w:sz w:val="24"/>
          <w:szCs w:val="24"/>
          <w:lang w:val="cs-CZ"/>
        </w:rPr>
        <w:t>.</w:t>
      </w:r>
      <w:r w:rsidR="00AE5DDC">
        <w:rPr>
          <w:rFonts w:ascii="Georgia" w:hAnsi="Georgia"/>
          <w:sz w:val="24"/>
          <w:szCs w:val="24"/>
          <w:lang w:val="cs-CZ"/>
        </w:rPr>
        <w:t xml:space="preserve"> </w:t>
      </w:r>
    </w:p>
    <w:p w:rsidR="00E1611C" w:rsidRDefault="00E1611C" w:rsidP="00A95815">
      <w:pPr>
        <w:spacing w:line="276" w:lineRule="auto"/>
        <w:ind w:firstLine="851"/>
        <w:jc w:val="both"/>
        <w:rPr>
          <w:rFonts w:ascii="Georgia" w:hAnsi="Georgia"/>
          <w:sz w:val="24"/>
          <w:szCs w:val="24"/>
          <w:lang w:val="cs-CZ"/>
        </w:rPr>
      </w:pPr>
    </w:p>
    <w:p w:rsidR="00E1611C" w:rsidRDefault="00E1611C" w:rsidP="00E1611C">
      <w:pPr>
        <w:spacing w:line="276" w:lineRule="auto"/>
        <w:ind w:firstLine="851"/>
        <w:jc w:val="right"/>
        <w:rPr>
          <w:rFonts w:ascii="Georgia" w:hAnsi="Georgia"/>
          <w:sz w:val="24"/>
          <w:szCs w:val="24"/>
          <w:lang w:val="cs-CZ"/>
        </w:rPr>
      </w:pPr>
      <w:r>
        <w:rPr>
          <w:rFonts w:ascii="Georgia" w:hAnsi="Georgia"/>
          <w:sz w:val="24"/>
          <w:szCs w:val="24"/>
          <w:lang w:val="cs-CZ"/>
        </w:rPr>
        <w:t xml:space="preserve">Peter </w:t>
      </w:r>
      <w:proofErr w:type="spellStart"/>
      <w:r>
        <w:rPr>
          <w:rFonts w:ascii="Georgia" w:hAnsi="Georgia"/>
          <w:sz w:val="24"/>
          <w:szCs w:val="24"/>
          <w:lang w:val="cs-CZ"/>
        </w:rPr>
        <w:t>Brezina</w:t>
      </w:r>
      <w:proofErr w:type="spellEnd"/>
      <w:r w:rsidR="0099063D">
        <w:rPr>
          <w:rFonts w:ascii="Georgia" w:hAnsi="Georgia"/>
          <w:sz w:val="24"/>
          <w:szCs w:val="24"/>
          <w:lang w:val="cs-CZ"/>
        </w:rPr>
        <w:t xml:space="preserve"> v. r.</w:t>
      </w:r>
    </w:p>
    <w:p w:rsidR="00E1611C" w:rsidRPr="00A26D7F" w:rsidRDefault="00722D4B" w:rsidP="00C61F4E">
      <w:pPr>
        <w:spacing w:line="276" w:lineRule="auto"/>
        <w:rPr>
          <w:rFonts w:ascii="Georgia" w:hAnsi="Georgia"/>
          <w:sz w:val="24"/>
          <w:szCs w:val="24"/>
          <w:lang w:val="cs-CZ"/>
        </w:rPr>
      </w:pPr>
      <w:r>
        <w:rPr>
          <w:rFonts w:ascii="Georgia" w:hAnsi="Georgia"/>
          <w:sz w:val="24"/>
          <w:szCs w:val="24"/>
          <w:lang w:val="cs-CZ"/>
        </w:rPr>
        <w:t>Praha</w:t>
      </w:r>
      <w:r w:rsidR="00E1611C">
        <w:rPr>
          <w:rFonts w:ascii="Georgia" w:hAnsi="Georgia"/>
          <w:sz w:val="24"/>
          <w:szCs w:val="24"/>
          <w:lang w:val="cs-CZ"/>
        </w:rPr>
        <w:t xml:space="preserve">, </w:t>
      </w:r>
      <w:r>
        <w:rPr>
          <w:rFonts w:ascii="Georgia" w:hAnsi="Georgia"/>
          <w:sz w:val="24"/>
          <w:szCs w:val="24"/>
          <w:lang w:val="cs-CZ"/>
        </w:rPr>
        <w:t>15.5</w:t>
      </w:r>
      <w:r w:rsidR="00E1611C">
        <w:rPr>
          <w:rFonts w:ascii="Georgia" w:hAnsi="Georgia"/>
          <w:sz w:val="24"/>
          <w:szCs w:val="24"/>
          <w:lang w:val="cs-CZ"/>
        </w:rPr>
        <w:t>.20</w:t>
      </w:r>
      <w:r w:rsidR="00127CA1">
        <w:rPr>
          <w:rFonts w:ascii="Georgia" w:hAnsi="Georgia"/>
          <w:sz w:val="24"/>
          <w:szCs w:val="24"/>
          <w:lang w:val="cs-CZ"/>
        </w:rPr>
        <w:t>20</w:t>
      </w:r>
    </w:p>
    <w:sectPr w:rsidR="00E1611C" w:rsidRPr="00A26D7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A38" w:rsidRDefault="00051A38" w:rsidP="009B4228">
      <w:pPr>
        <w:spacing w:after="0" w:line="240" w:lineRule="auto"/>
      </w:pPr>
      <w:r>
        <w:separator/>
      </w:r>
    </w:p>
  </w:endnote>
  <w:endnote w:type="continuationSeparator" w:id="0">
    <w:p w:rsidR="00051A38" w:rsidRDefault="00051A38" w:rsidP="009B4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799979"/>
      <w:docPartObj>
        <w:docPartGallery w:val="Page Numbers (Bottom of Page)"/>
        <w:docPartUnique/>
      </w:docPartObj>
    </w:sdtPr>
    <w:sdtEndPr>
      <w:rPr>
        <w:rFonts w:ascii="Georgia" w:hAnsi="Georgia"/>
      </w:rPr>
    </w:sdtEndPr>
    <w:sdtContent>
      <w:p w:rsidR="009B4228" w:rsidRPr="009B4228" w:rsidRDefault="009B4228">
        <w:pPr>
          <w:pStyle w:val="Zpat"/>
          <w:jc w:val="right"/>
          <w:rPr>
            <w:rFonts w:ascii="Georgia" w:hAnsi="Georgia"/>
          </w:rPr>
        </w:pPr>
        <w:r w:rsidRPr="009B4228">
          <w:rPr>
            <w:rFonts w:ascii="Georgia" w:hAnsi="Georgia"/>
          </w:rPr>
          <w:fldChar w:fldCharType="begin"/>
        </w:r>
        <w:r w:rsidRPr="009B4228">
          <w:rPr>
            <w:rFonts w:ascii="Georgia" w:hAnsi="Georgia"/>
          </w:rPr>
          <w:instrText>PAGE   \* MERGEFORMAT</w:instrText>
        </w:r>
        <w:r w:rsidRPr="009B4228">
          <w:rPr>
            <w:rFonts w:ascii="Georgia" w:hAnsi="Georgia"/>
          </w:rPr>
          <w:fldChar w:fldCharType="separate"/>
        </w:r>
        <w:r w:rsidR="00147B21" w:rsidRPr="00147B21">
          <w:rPr>
            <w:rFonts w:ascii="Georgia" w:hAnsi="Georgia"/>
            <w:noProof/>
            <w:lang w:val="cs-CZ"/>
          </w:rPr>
          <w:t>1</w:t>
        </w:r>
        <w:r w:rsidRPr="009B4228">
          <w:rPr>
            <w:rFonts w:ascii="Georgia" w:hAnsi="Georgia"/>
          </w:rPr>
          <w:fldChar w:fldCharType="end"/>
        </w:r>
      </w:p>
    </w:sdtContent>
  </w:sdt>
  <w:p w:rsidR="009B4228" w:rsidRDefault="009B422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A38" w:rsidRDefault="00051A38" w:rsidP="009B4228">
      <w:pPr>
        <w:spacing w:after="0" w:line="240" w:lineRule="auto"/>
      </w:pPr>
      <w:r>
        <w:separator/>
      </w:r>
    </w:p>
  </w:footnote>
  <w:footnote w:type="continuationSeparator" w:id="0">
    <w:p w:rsidR="00051A38" w:rsidRDefault="00051A38" w:rsidP="009B42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9D8"/>
    <w:rsid w:val="000125A9"/>
    <w:rsid w:val="000375BA"/>
    <w:rsid w:val="00043517"/>
    <w:rsid w:val="00051A38"/>
    <w:rsid w:val="00055F86"/>
    <w:rsid w:val="00067C29"/>
    <w:rsid w:val="00071A44"/>
    <w:rsid w:val="00081FE9"/>
    <w:rsid w:val="000869C8"/>
    <w:rsid w:val="000A4E7D"/>
    <w:rsid w:val="000A53BF"/>
    <w:rsid w:val="000B236B"/>
    <w:rsid w:val="00120A16"/>
    <w:rsid w:val="00127428"/>
    <w:rsid w:val="00127CA1"/>
    <w:rsid w:val="00147B21"/>
    <w:rsid w:val="00151FA7"/>
    <w:rsid w:val="001A2FE6"/>
    <w:rsid w:val="001B47DB"/>
    <w:rsid w:val="001D3643"/>
    <w:rsid w:val="001D3709"/>
    <w:rsid w:val="001E08CA"/>
    <w:rsid w:val="002265A0"/>
    <w:rsid w:val="00230626"/>
    <w:rsid w:val="00231BC5"/>
    <w:rsid w:val="00256500"/>
    <w:rsid w:val="002718A0"/>
    <w:rsid w:val="002838C6"/>
    <w:rsid w:val="00293F9E"/>
    <w:rsid w:val="002D1217"/>
    <w:rsid w:val="002E4E27"/>
    <w:rsid w:val="002F74E4"/>
    <w:rsid w:val="003153D8"/>
    <w:rsid w:val="00324326"/>
    <w:rsid w:val="00350A36"/>
    <w:rsid w:val="003630A4"/>
    <w:rsid w:val="00375ED5"/>
    <w:rsid w:val="003E175E"/>
    <w:rsid w:val="003E455B"/>
    <w:rsid w:val="004021DA"/>
    <w:rsid w:val="00411777"/>
    <w:rsid w:val="00414793"/>
    <w:rsid w:val="00417E05"/>
    <w:rsid w:val="00421C03"/>
    <w:rsid w:val="00472D0B"/>
    <w:rsid w:val="004A336B"/>
    <w:rsid w:val="005022BB"/>
    <w:rsid w:val="00521DE9"/>
    <w:rsid w:val="005326A4"/>
    <w:rsid w:val="0054168D"/>
    <w:rsid w:val="00543565"/>
    <w:rsid w:val="005548DC"/>
    <w:rsid w:val="00560702"/>
    <w:rsid w:val="005764CA"/>
    <w:rsid w:val="005A30D3"/>
    <w:rsid w:val="005B7E80"/>
    <w:rsid w:val="005D7FAA"/>
    <w:rsid w:val="005F39B7"/>
    <w:rsid w:val="006014E8"/>
    <w:rsid w:val="00602B2C"/>
    <w:rsid w:val="00603BD7"/>
    <w:rsid w:val="00625867"/>
    <w:rsid w:val="006365D5"/>
    <w:rsid w:val="00646D35"/>
    <w:rsid w:val="0066247D"/>
    <w:rsid w:val="00663700"/>
    <w:rsid w:val="006719D8"/>
    <w:rsid w:val="00673134"/>
    <w:rsid w:val="0069075F"/>
    <w:rsid w:val="006C782F"/>
    <w:rsid w:val="006D383E"/>
    <w:rsid w:val="006E42F5"/>
    <w:rsid w:val="006F1945"/>
    <w:rsid w:val="00722D4B"/>
    <w:rsid w:val="00742C74"/>
    <w:rsid w:val="00754997"/>
    <w:rsid w:val="00766ADB"/>
    <w:rsid w:val="00767AEB"/>
    <w:rsid w:val="0077791D"/>
    <w:rsid w:val="007B47D4"/>
    <w:rsid w:val="007C0DE1"/>
    <w:rsid w:val="007C4D8A"/>
    <w:rsid w:val="007E1B54"/>
    <w:rsid w:val="007E7DBA"/>
    <w:rsid w:val="00803A15"/>
    <w:rsid w:val="008627D2"/>
    <w:rsid w:val="00870E74"/>
    <w:rsid w:val="008871B5"/>
    <w:rsid w:val="008A3200"/>
    <w:rsid w:val="008B4E34"/>
    <w:rsid w:val="008B68C3"/>
    <w:rsid w:val="008C042D"/>
    <w:rsid w:val="00917646"/>
    <w:rsid w:val="0093021B"/>
    <w:rsid w:val="009342C5"/>
    <w:rsid w:val="0093679A"/>
    <w:rsid w:val="009403F6"/>
    <w:rsid w:val="00942845"/>
    <w:rsid w:val="00943B99"/>
    <w:rsid w:val="00972911"/>
    <w:rsid w:val="0099063D"/>
    <w:rsid w:val="00991AA2"/>
    <w:rsid w:val="009B0761"/>
    <w:rsid w:val="009B3DA7"/>
    <w:rsid w:val="009B4228"/>
    <w:rsid w:val="009C2060"/>
    <w:rsid w:val="009D045C"/>
    <w:rsid w:val="009D1CBF"/>
    <w:rsid w:val="009F0CCD"/>
    <w:rsid w:val="009F50CD"/>
    <w:rsid w:val="00A01E4B"/>
    <w:rsid w:val="00A120F1"/>
    <w:rsid w:val="00A13093"/>
    <w:rsid w:val="00A165D4"/>
    <w:rsid w:val="00A26D7F"/>
    <w:rsid w:val="00A31043"/>
    <w:rsid w:val="00A35005"/>
    <w:rsid w:val="00A468A6"/>
    <w:rsid w:val="00A50EC3"/>
    <w:rsid w:val="00A527D1"/>
    <w:rsid w:val="00A773C9"/>
    <w:rsid w:val="00A95815"/>
    <w:rsid w:val="00A961CC"/>
    <w:rsid w:val="00AB08AF"/>
    <w:rsid w:val="00AC7C18"/>
    <w:rsid w:val="00AE5DDC"/>
    <w:rsid w:val="00AF0313"/>
    <w:rsid w:val="00B06172"/>
    <w:rsid w:val="00B10A36"/>
    <w:rsid w:val="00B175D3"/>
    <w:rsid w:val="00B202DD"/>
    <w:rsid w:val="00B32CC4"/>
    <w:rsid w:val="00B61841"/>
    <w:rsid w:val="00BA4E37"/>
    <w:rsid w:val="00BC73F4"/>
    <w:rsid w:val="00BF5C65"/>
    <w:rsid w:val="00C01019"/>
    <w:rsid w:val="00C21070"/>
    <w:rsid w:val="00C2270E"/>
    <w:rsid w:val="00C54287"/>
    <w:rsid w:val="00C61F4E"/>
    <w:rsid w:val="00C76A07"/>
    <w:rsid w:val="00C84467"/>
    <w:rsid w:val="00C9098E"/>
    <w:rsid w:val="00C90B92"/>
    <w:rsid w:val="00CB3B77"/>
    <w:rsid w:val="00CC0EC0"/>
    <w:rsid w:val="00CD719A"/>
    <w:rsid w:val="00CE797C"/>
    <w:rsid w:val="00CF7C3B"/>
    <w:rsid w:val="00D26DD5"/>
    <w:rsid w:val="00D35962"/>
    <w:rsid w:val="00D54881"/>
    <w:rsid w:val="00D70606"/>
    <w:rsid w:val="00D76EF0"/>
    <w:rsid w:val="00D97BCA"/>
    <w:rsid w:val="00DB5F07"/>
    <w:rsid w:val="00DE1C5A"/>
    <w:rsid w:val="00DE3BB2"/>
    <w:rsid w:val="00DE4E5B"/>
    <w:rsid w:val="00DE6F00"/>
    <w:rsid w:val="00E009E7"/>
    <w:rsid w:val="00E1611C"/>
    <w:rsid w:val="00E2368C"/>
    <w:rsid w:val="00E363CB"/>
    <w:rsid w:val="00E6598A"/>
    <w:rsid w:val="00EB6604"/>
    <w:rsid w:val="00EF5B2D"/>
    <w:rsid w:val="00F20D3B"/>
    <w:rsid w:val="00F74887"/>
    <w:rsid w:val="00F75218"/>
    <w:rsid w:val="00F82C9D"/>
    <w:rsid w:val="00F91EF6"/>
    <w:rsid w:val="00FC641F"/>
    <w:rsid w:val="00FE42DF"/>
    <w:rsid w:val="00FF2D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B422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B4228"/>
    <w:rPr>
      <w:lang w:val="sk-SK"/>
    </w:rPr>
  </w:style>
  <w:style w:type="paragraph" w:styleId="Zpat">
    <w:name w:val="footer"/>
    <w:basedOn w:val="Normln"/>
    <w:link w:val="ZpatChar"/>
    <w:uiPriority w:val="99"/>
    <w:unhideWhenUsed/>
    <w:rsid w:val="009B4228"/>
    <w:pPr>
      <w:tabs>
        <w:tab w:val="center" w:pos="4536"/>
        <w:tab w:val="right" w:pos="9072"/>
      </w:tabs>
      <w:spacing w:after="0" w:line="240" w:lineRule="auto"/>
    </w:pPr>
  </w:style>
  <w:style w:type="character" w:customStyle="1" w:styleId="ZpatChar">
    <w:name w:val="Zápatí Char"/>
    <w:basedOn w:val="Standardnpsmoodstavce"/>
    <w:link w:val="Zpat"/>
    <w:uiPriority w:val="99"/>
    <w:rsid w:val="009B4228"/>
    <w:rPr>
      <w:lang w:val="sk-SK"/>
    </w:rPr>
  </w:style>
  <w:style w:type="paragraph" w:styleId="Textbubliny">
    <w:name w:val="Balloon Text"/>
    <w:basedOn w:val="Normln"/>
    <w:link w:val="TextbublinyChar"/>
    <w:uiPriority w:val="99"/>
    <w:semiHidden/>
    <w:unhideWhenUsed/>
    <w:rsid w:val="00D3596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35962"/>
    <w:rPr>
      <w:rFonts w:ascii="Segoe UI" w:hAnsi="Segoe UI" w:cs="Segoe UI"/>
      <w:sz w:val="18"/>
      <w:szCs w:val="18"/>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B422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B4228"/>
    <w:rPr>
      <w:lang w:val="sk-SK"/>
    </w:rPr>
  </w:style>
  <w:style w:type="paragraph" w:styleId="Zpat">
    <w:name w:val="footer"/>
    <w:basedOn w:val="Normln"/>
    <w:link w:val="ZpatChar"/>
    <w:uiPriority w:val="99"/>
    <w:unhideWhenUsed/>
    <w:rsid w:val="009B4228"/>
    <w:pPr>
      <w:tabs>
        <w:tab w:val="center" w:pos="4536"/>
        <w:tab w:val="right" w:pos="9072"/>
      </w:tabs>
      <w:spacing w:after="0" w:line="240" w:lineRule="auto"/>
    </w:pPr>
  </w:style>
  <w:style w:type="character" w:customStyle="1" w:styleId="ZpatChar">
    <w:name w:val="Zápatí Char"/>
    <w:basedOn w:val="Standardnpsmoodstavce"/>
    <w:link w:val="Zpat"/>
    <w:uiPriority w:val="99"/>
    <w:rsid w:val="009B4228"/>
    <w:rPr>
      <w:lang w:val="sk-SK"/>
    </w:rPr>
  </w:style>
  <w:style w:type="paragraph" w:styleId="Textbubliny">
    <w:name w:val="Balloon Text"/>
    <w:basedOn w:val="Normln"/>
    <w:link w:val="TextbublinyChar"/>
    <w:uiPriority w:val="99"/>
    <w:semiHidden/>
    <w:unhideWhenUsed/>
    <w:rsid w:val="00D3596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35962"/>
    <w:rPr>
      <w:rFonts w:ascii="Segoe UI" w:hAnsi="Segoe UI" w:cs="Segoe UI"/>
      <w:sz w:val="18"/>
      <w:szCs w:val="18"/>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3147</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Západočeská Univerzita</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JUDr. Helena Jermanová</cp:lastModifiedBy>
  <cp:revision>2</cp:revision>
  <cp:lastPrinted>2017-06-03T14:00:00Z</cp:lastPrinted>
  <dcterms:created xsi:type="dcterms:W3CDTF">2020-06-23T11:34:00Z</dcterms:created>
  <dcterms:modified xsi:type="dcterms:W3CDTF">2020-06-23T11:34:00Z</dcterms:modified>
</cp:coreProperties>
</file>