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75457D">
        <w:rPr>
          <w:rFonts w:ascii="Arial" w:hAnsi="Arial" w:cs="Arial"/>
          <w:b/>
          <w:sz w:val="28"/>
          <w:szCs w:val="28"/>
        </w:rPr>
        <w:t>Milanem Kisvetrem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„Meze projevů náboženského vyznání v současných demokratických státech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9106E" w:rsidRDefault="0009106E" w:rsidP="0009106E">
      <w:pPr>
        <w:jc w:val="both"/>
        <w:rPr>
          <w:rFonts w:ascii="Arial" w:hAnsi="Arial" w:cs="Arial"/>
        </w:rPr>
      </w:pPr>
    </w:p>
    <w:p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371EB1">
        <w:rPr>
          <w:rFonts w:ascii="Arial" w:hAnsi="Arial" w:cs="Arial"/>
        </w:rPr>
        <w:t>v tomto</w:t>
      </w:r>
      <w:r w:rsidR="0075457D">
        <w:rPr>
          <w:rFonts w:ascii="Arial" w:hAnsi="Arial" w:cs="Arial"/>
        </w:rPr>
        <w:t xml:space="preserve"> miléniu velmi </w:t>
      </w:r>
      <w:r>
        <w:rPr>
          <w:rFonts w:ascii="Arial" w:hAnsi="Arial" w:cs="Arial"/>
        </w:rPr>
        <w:t>aktuálnímu a zároveň společensky citlivému té</w:t>
      </w:r>
      <w:r w:rsidR="0075457D">
        <w:rPr>
          <w:rFonts w:ascii="Arial" w:hAnsi="Arial" w:cs="Arial"/>
        </w:rPr>
        <w:t>matu, kterého se diplomant zhostil poměrně komplexním způsobem</w:t>
      </w:r>
      <w:r>
        <w:rPr>
          <w:rFonts w:ascii="Arial" w:hAnsi="Arial" w:cs="Arial"/>
        </w:rPr>
        <w:t xml:space="preserve">. </w:t>
      </w:r>
      <w:r w:rsidR="0075457D">
        <w:rPr>
          <w:rFonts w:ascii="Arial" w:hAnsi="Arial" w:cs="Arial"/>
        </w:rPr>
        <w:t xml:space="preserve">Jelikož mívám ve zvyku v rámci posudku případně vyzdvihnout spolupráci s diplomanty při konzultacích, zde tedy musím naopak podotknout, že jsem s průběžnou, ale bohužel ani s výslednou podobou práce ze strany diplomanta seznámena nebyla. K tomu však ještě přidávám, že obsahově shledávám práci jako standardní, takže to v mém výsledném hodnocení hrát roli nebude. Domnívám se, že nedostatkem konzultací utrpěla spíše formální </w:t>
      </w:r>
      <w:r w:rsidR="002D0617">
        <w:rPr>
          <w:rFonts w:ascii="Arial" w:hAnsi="Arial" w:cs="Arial"/>
        </w:rPr>
        <w:t>stránka, ovšem nikoliv fatálně. Úvodem bych obecně uvedla, že diplomant v práci mapuje právní úpravu a</w:t>
      </w:r>
      <w:r>
        <w:rPr>
          <w:rFonts w:ascii="Arial" w:hAnsi="Arial" w:cs="Arial"/>
        </w:rPr>
        <w:t xml:space="preserve"> vhodným způsobem taktéž využívá judikaturu Ústavního soudu ČR i Evropského soudu pro lidská práva (dále jen „ESLP“).</w:t>
      </w:r>
    </w:p>
    <w:p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:rsidR="004A56EB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175CEF">
        <w:rPr>
          <w:rFonts w:ascii="Arial" w:hAnsi="Arial" w:cs="Arial"/>
        </w:rPr>
        <w:t>šesti</w:t>
      </w:r>
      <w:r>
        <w:rPr>
          <w:rFonts w:ascii="Arial" w:hAnsi="Arial" w:cs="Arial"/>
        </w:rPr>
        <w:t xml:space="preserve"> kapitol</w:t>
      </w:r>
      <w:r w:rsidR="00614FF8">
        <w:rPr>
          <w:rFonts w:ascii="Arial" w:hAnsi="Arial" w:cs="Arial"/>
        </w:rPr>
        <w:t xml:space="preserve"> (včetně úvodu a závěru)</w:t>
      </w:r>
      <w:r w:rsidR="004A56EB">
        <w:rPr>
          <w:rFonts w:ascii="Arial" w:hAnsi="Arial" w:cs="Arial"/>
        </w:rPr>
        <w:t>, dále zahrnuje také obsah</w:t>
      </w:r>
      <w:r w:rsidR="00236391">
        <w:rPr>
          <w:rFonts w:ascii="Arial" w:hAnsi="Arial" w:cs="Arial"/>
        </w:rPr>
        <w:t xml:space="preserve">, </w:t>
      </w:r>
      <w:r w:rsidR="00614FF8">
        <w:rPr>
          <w:rFonts w:ascii="Arial" w:hAnsi="Arial" w:cs="Arial"/>
        </w:rPr>
        <w:t xml:space="preserve">seznam </w:t>
      </w:r>
      <w:r w:rsidR="00371EB1">
        <w:rPr>
          <w:rFonts w:ascii="Arial" w:hAnsi="Arial" w:cs="Arial"/>
        </w:rPr>
        <w:t xml:space="preserve">použitých </w:t>
      </w:r>
      <w:r w:rsidR="00614FF8">
        <w:rPr>
          <w:rFonts w:ascii="Arial" w:hAnsi="Arial" w:cs="Arial"/>
        </w:rPr>
        <w:t>zkratek</w:t>
      </w:r>
      <w:r w:rsidR="002363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použitých </w:t>
      </w:r>
      <w:r w:rsidR="00175CEF">
        <w:rPr>
          <w:rFonts w:ascii="Arial" w:hAnsi="Arial" w:cs="Arial"/>
        </w:rPr>
        <w:t>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14FF8">
        <w:rPr>
          <w:rFonts w:ascii="Arial" w:hAnsi="Arial" w:cs="Arial"/>
        </w:rPr>
        <w:t>Čítá celkem 73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více než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614FF8">
        <w:rPr>
          <w:rFonts w:ascii="Arial" w:hAnsi="Arial" w:cs="Arial"/>
        </w:rPr>
        <w:t>Jak již bylo uvedeno výše, po formální stránce vykazuje práce určité nedostatky, jako je zahrnutí úvodu a závěru mezi číslované kapitoly, nové kapitoly nezačínají na nové stránce, seznam zdrojů v rámci jednotlivých částí není abecedně řazený a další. I přes tyto výhrady však hodnotím, že posuzovaná práce dosahuje po formální stránce standardní úrovně.</w:t>
      </w:r>
    </w:p>
    <w:p w:rsidR="009A0CF1" w:rsidRDefault="009A0C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stylistické </w:t>
      </w:r>
      <w:r w:rsidR="00E24590">
        <w:rPr>
          <w:rFonts w:ascii="Arial" w:hAnsi="Arial" w:cs="Arial"/>
        </w:rPr>
        <w:t xml:space="preserve">i jazykové </w:t>
      </w:r>
      <w:r>
        <w:rPr>
          <w:rFonts w:ascii="Arial" w:hAnsi="Arial" w:cs="Arial"/>
        </w:rPr>
        <w:t xml:space="preserve">stránce </w:t>
      </w:r>
      <w:r w:rsidR="004A56EB">
        <w:rPr>
          <w:rFonts w:ascii="Arial" w:hAnsi="Arial" w:cs="Arial"/>
        </w:rPr>
        <w:t>d</w:t>
      </w:r>
      <w:r w:rsidR="00E95A65">
        <w:rPr>
          <w:rFonts w:ascii="Arial" w:hAnsi="Arial" w:cs="Arial"/>
        </w:rPr>
        <w:t xml:space="preserve">osahuje práce </w:t>
      </w:r>
      <w:r w:rsidR="00175CEF">
        <w:rPr>
          <w:rFonts w:ascii="Arial" w:hAnsi="Arial" w:cs="Arial"/>
        </w:rPr>
        <w:t>velmi dobré úrovně.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614FF8">
        <w:rPr>
          <w:rFonts w:ascii="Arial" w:hAnsi="Arial" w:cs="Arial"/>
        </w:rPr>
        <w:t>Jak již bylo uvedeno výše, d</w:t>
      </w:r>
      <w:r w:rsidR="00AE4E5D">
        <w:rPr>
          <w:rFonts w:ascii="Arial" w:hAnsi="Arial" w:cs="Arial"/>
        </w:rPr>
        <w:t>iplomant k tématu přistoupil komplexně</w:t>
      </w:r>
      <w:r w:rsidR="009814FB">
        <w:rPr>
          <w:rFonts w:ascii="Arial" w:hAnsi="Arial" w:cs="Arial"/>
        </w:rPr>
        <w:t>, přičemž jeho klíčovým institutům věnoval patřičnou pozornost. Hloubku ponoru do prob</w:t>
      </w:r>
      <w:r w:rsidR="00614FF8">
        <w:rPr>
          <w:rFonts w:ascii="Arial" w:hAnsi="Arial" w:cs="Arial"/>
        </w:rPr>
        <w:t>lematiky tedy hodnotím jako</w:t>
      </w:r>
      <w:r w:rsidR="009814FB">
        <w:rPr>
          <w:rFonts w:ascii="Arial" w:hAnsi="Arial" w:cs="Arial"/>
        </w:rPr>
        <w:t xml:space="preserve"> dostačující. </w:t>
      </w:r>
      <w:r w:rsidR="00175CEF">
        <w:rPr>
          <w:rFonts w:ascii="Arial" w:hAnsi="Arial" w:cs="Arial"/>
        </w:rPr>
        <w:t>Naopa</w:t>
      </w:r>
      <w:r w:rsidR="00371EB1">
        <w:rPr>
          <w:rFonts w:ascii="Arial" w:hAnsi="Arial" w:cs="Arial"/>
        </w:rPr>
        <w:t>k postrádám více diplomantových</w:t>
      </w:r>
      <w:r w:rsidR="00175CEF">
        <w:rPr>
          <w:rFonts w:ascii="Arial" w:hAnsi="Arial" w:cs="Arial"/>
        </w:rPr>
        <w:t xml:space="preserve"> názorů, myšlenek a postřehů.</w:t>
      </w:r>
      <w:r w:rsidR="00614FF8">
        <w:rPr>
          <w:rFonts w:ascii="Arial" w:hAnsi="Arial" w:cs="Arial"/>
        </w:rPr>
        <w:t xml:space="preserve"> Tedy, ony se v práci </w:t>
      </w:r>
      <w:r w:rsidR="00614FF8">
        <w:rPr>
          <w:rFonts w:ascii="Arial" w:hAnsi="Arial" w:cs="Arial"/>
        </w:rPr>
        <w:lastRenderedPageBreak/>
        <w:t>objevují, ovšem bohuž</w:t>
      </w:r>
      <w:r w:rsidR="00C03BD1">
        <w:rPr>
          <w:rFonts w:ascii="Arial" w:hAnsi="Arial" w:cs="Arial"/>
        </w:rPr>
        <w:t>el nevyznívají přesvědčivě</w:t>
      </w:r>
      <w:r w:rsidR="00614FF8">
        <w:rPr>
          <w:rFonts w:ascii="Arial" w:hAnsi="Arial" w:cs="Arial"/>
        </w:rPr>
        <w:t xml:space="preserve"> fundovaně</w:t>
      </w:r>
      <w:r w:rsidR="00F62B25">
        <w:rPr>
          <w:rFonts w:ascii="Arial" w:hAnsi="Arial" w:cs="Arial"/>
        </w:rPr>
        <w:t xml:space="preserve"> (např. „islám a jeho problémy“, „v jeho jménu se páchají zvěrstva“)</w:t>
      </w:r>
      <w:r w:rsidR="00614FF8">
        <w:rPr>
          <w:rFonts w:ascii="Arial" w:hAnsi="Arial" w:cs="Arial"/>
        </w:rPr>
        <w:t>, spíše vypovídají o obecné představě, j</w:t>
      </w:r>
      <w:r w:rsidR="00F62B25">
        <w:rPr>
          <w:rFonts w:ascii="Arial" w:hAnsi="Arial" w:cs="Arial"/>
        </w:rPr>
        <w:t>aká se ve společnosti především</w:t>
      </w:r>
      <w:r w:rsidR="00614FF8">
        <w:rPr>
          <w:rFonts w:ascii="Arial" w:hAnsi="Arial" w:cs="Arial"/>
        </w:rPr>
        <w:t xml:space="preserve"> o islámu objevuje, což může být lidsky pochopitelné, ovšem v kvalifikační práci </w:t>
      </w:r>
      <w:r w:rsidR="00F62B25">
        <w:rPr>
          <w:rFonts w:ascii="Arial" w:hAnsi="Arial" w:cs="Arial"/>
        </w:rPr>
        <w:t xml:space="preserve">bych očekávala upozornění na širší rozměry </w:t>
      </w:r>
      <w:r w:rsidR="00C03BD1">
        <w:rPr>
          <w:rFonts w:ascii="Arial" w:hAnsi="Arial" w:cs="Arial"/>
        </w:rPr>
        <w:t xml:space="preserve">a hloubku </w:t>
      </w:r>
      <w:r w:rsidR="00F62B25">
        <w:rPr>
          <w:rFonts w:ascii="Arial" w:hAnsi="Arial" w:cs="Arial"/>
        </w:rPr>
        <w:t>rozebírané problematiky.</w:t>
      </w:r>
    </w:p>
    <w:p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diplomant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stanovuje cíle, metodiku práce a zdroje, se kterými hodlá pracovat</w:t>
      </w:r>
      <w:r w:rsidR="00364DE3">
        <w:rPr>
          <w:rFonts w:ascii="Arial" w:hAnsi="Arial" w:cs="Arial"/>
        </w:rPr>
        <w:t>.</w:t>
      </w:r>
      <w:r w:rsidR="00175CEF">
        <w:rPr>
          <w:rFonts w:ascii="Arial" w:hAnsi="Arial" w:cs="Arial"/>
        </w:rPr>
        <w:t xml:space="preserve"> Úvod tedy obsahuje všechny očekávané náležitosti.</w:t>
      </w:r>
    </w:p>
    <w:p w:rsidR="00E95A65" w:rsidRDefault="00F62B25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</w:t>
      </w:r>
      <w:r w:rsidR="00C07283">
        <w:rPr>
          <w:rFonts w:ascii="Arial" w:hAnsi="Arial" w:cs="Arial"/>
        </w:rPr>
        <w:t xml:space="preserve"> dvě kapitoly</w:t>
      </w:r>
      <w:r>
        <w:rPr>
          <w:rFonts w:ascii="Arial" w:hAnsi="Arial" w:cs="Arial"/>
        </w:rPr>
        <w:t xml:space="preserve"> (druhá a třetí)</w:t>
      </w:r>
      <w:r w:rsidR="00C07283">
        <w:rPr>
          <w:rFonts w:ascii="Arial" w:hAnsi="Arial" w:cs="Arial"/>
        </w:rPr>
        <w:t xml:space="preserve"> </w:t>
      </w:r>
      <w:r w:rsidR="00BC6FE9">
        <w:rPr>
          <w:rFonts w:ascii="Arial" w:hAnsi="Arial" w:cs="Arial"/>
        </w:rPr>
        <w:t xml:space="preserve">představují jakési uvedení do problematiky. </w:t>
      </w:r>
      <w:r>
        <w:rPr>
          <w:rFonts w:ascii="Arial" w:hAnsi="Arial" w:cs="Arial"/>
        </w:rPr>
        <w:t>Diplomant v nich poměrně široce rozebírá především dva instituty, které s danou problematikou velmi úzce souvisí, a to je vztah státu a náboženství svoboda náboženského vyznání. Diplomant neopomíná na zakotvení této svobody v právním řádu ČR i mezinárodním a evropském právu.</w:t>
      </w:r>
    </w:p>
    <w:p w:rsidR="00BA07E7" w:rsidRDefault="00F62B25" w:rsidP="005266C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jádro práce považuji kapitoly čtvrtou a pátou, z nich ta první je spíše obecnějšího charakteru a zabývá se komentářovou formou, ovšem s využitím judikatury vymezením, co spadá pod tzv. projev náboženského vyznání a mezemi, které vytyčuje především ESLP. </w:t>
      </w:r>
      <w:r w:rsidR="005266C4">
        <w:rPr>
          <w:rFonts w:ascii="Arial" w:hAnsi="Arial" w:cs="Arial"/>
        </w:rPr>
        <w:t>Zde bych možná uvítala, aby judikatura rozebraná zvlášť v kapitole páté, byla připojena do kapitoly čtvrté, neboť by tak práce působila ucelenějším a kompaktnějším dojmem. Z páté kapitoly mám totiž výsledný dojem, že v něm autor bez bližšího vysvětlení přeskakuje od jednoho případu k druhému, přičemž svou pozornost zbytečně upíná spíše k popisu skutkového stavu apod., než k samotnému rozboru právního názoru ESLP či Ústavního soudu.</w:t>
      </w:r>
    </w:p>
    <w:p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8E4D2B">
        <w:rPr>
          <w:rFonts w:ascii="Arial" w:hAnsi="Arial" w:cs="Arial"/>
        </w:rPr>
        <w:t xml:space="preserve"> shrnuje nejdůležitější poznatky, ke kterým ve své práci dospěl.</w:t>
      </w:r>
    </w:p>
    <w:p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>zitivně hodnotím obsáhlý</w:t>
      </w:r>
      <w:r w:rsidR="008E4D2B">
        <w:rPr>
          <w:rFonts w:ascii="Arial" w:hAnsi="Arial" w:cs="Arial"/>
        </w:rPr>
        <w:t xml:space="preserve"> fond odborné literatury</w:t>
      </w:r>
      <w:r>
        <w:rPr>
          <w:rFonts w:ascii="Arial" w:hAnsi="Arial" w:cs="Arial"/>
        </w:rPr>
        <w:t xml:space="preserve"> (včetně cizojazyčné)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 odpovídajícím způsobem využil.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 úspěšně prokázal svou schopnost pracovat se zdroji.</w:t>
      </w:r>
    </w:p>
    <w:p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Dle ověření systémem pro odhalování plagiátů TH</w:t>
      </w:r>
      <w:r w:rsidR="00937ECD">
        <w:rPr>
          <w:rFonts w:ascii="Arial" w:hAnsi="Arial" w:cs="Arial"/>
        </w:rPr>
        <w:t>ESES.CZ vykazuje práce nulovou shodu</w:t>
      </w:r>
      <w:r w:rsidR="002A61DE">
        <w:rPr>
          <w:rFonts w:ascii="Arial" w:hAnsi="Arial" w:cs="Arial"/>
        </w:rPr>
        <w:t>.</w:t>
      </w:r>
    </w:p>
    <w:p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diplomantovi</w:t>
      </w:r>
      <w:r>
        <w:rPr>
          <w:rFonts w:ascii="Arial" w:hAnsi="Arial" w:cs="Arial"/>
        </w:rPr>
        <w:t>, aby se zaměřil na následující:</w:t>
      </w:r>
    </w:p>
    <w:p w:rsidR="00DC4125" w:rsidRDefault="003B75F0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Diplomant v práci spatřuje v judikatuře ESLP týkající se projevů náboženského vyznání určitý výraznější posun směrem k větší tolerantnosti náboženských projevů. Čím si diplomant tento posun vysvětluje?</w:t>
      </w:r>
    </w:p>
    <w:p w:rsidR="0087492B" w:rsidRDefault="00C03BD1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práci diplomant postihuje celou škálu konkrétních problematik související s projevem náboženského vyznání, kterou z nich a proč považuje za aktuálně nejnaléhavější?</w:t>
      </w:r>
    </w:p>
    <w:p w:rsidR="00E24590" w:rsidRDefault="008C70B8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7EBA">
        <w:rPr>
          <w:rFonts w:ascii="Arial" w:hAnsi="Arial" w:cs="Arial"/>
        </w:rPr>
        <w:t xml:space="preserve">patřuje diplomant </w:t>
      </w:r>
      <w:r>
        <w:rPr>
          <w:rFonts w:ascii="Arial" w:hAnsi="Arial" w:cs="Arial"/>
        </w:rPr>
        <w:t xml:space="preserve">z hlediska komparace </w:t>
      </w:r>
      <w:r w:rsidR="00237EBA">
        <w:rPr>
          <w:rFonts w:ascii="Arial" w:hAnsi="Arial" w:cs="Arial"/>
        </w:rPr>
        <w:t>nějaký výraznější rozdíl k toleranci projevů náboženského vyznání napříč státy Rady Evropy?</w:t>
      </w:r>
      <w:r w:rsidR="00C03BD1">
        <w:rPr>
          <w:rFonts w:ascii="Arial" w:hAnsi="Arial" w:cs="Arial"/>
        </w:rPr>
        <w:t xml:space="preserve"> </w:t>
      </w:r>
    </w:p>
    <w:p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5266C4">
        <w:rPr>
          <w:rFonts w:ascii="Arial" w:hAnsi="Arial" w:cs="Arial"/>
        </w:rPr>
        <w:t xml:space="preserve"> Diplomant </w:t>
      </w:r>
      <w:r w:rsidR="00C03BD1">
        <w:rPr>
          <w:rFonts w:ascii="Arial" w:hAnsi="Arial" w:cs="Arial"/>
        </w:rPr>
        <w:t>dosti široké téma pojal vhodně tak, že</w:t>
      </w:r>
      <w:r w:rsidR="005266C4">
        <w:rPr>
          <w:rFonts w:ascii="Arial" w:hAnsi="Arial" w:cs="Arial"/>
        </w:rPr>
        <w:t xml:space="preserve"> </w:t>
      </w:r>
      <w:r w:rsidR="00C03BD1">
        <w:rPr>
          <w:rFonts w:ascii="Arial" w:hAnsi="Arial" w:cs="Arial"/>
        </w:rPr>
        <w:t xml:space="preserve">kvalitně </w:t>
      </w:r>
      <w:r w:rsidR="005266C4">
        <w:rPr>
          <w:rFonts w:ascii="Arial" w:hAnsi="Arial" w:cs="Arial"/>
        </w:rPr>
        <w:t>obsáhl</w:t>
      </w:r>
      <w:r w:rsidR="00C03BD1">
        <w:rPr>
          <w:rFonts w:ascii="Arial" w:hAnsi="Arial" w:cs="Arial"/>
        </w:rPr>
        <w:t xml:space="preserve"> výklad pojmů, zmapování právní úpravy i</w:t>
      </w:r>
      <w:r w:rsidR="00FB6237">
        <w:rPr>
          <w:rFonts w:ascii="Arial" w:hAnsi="Arial" w:cs="Arial"/>
        </w:rPr>
        <w:t xml:space="preserve"> související judikatury.</w:t>
      </w:r>
      <w:r w:rsidR="005266C4">
        <w:rPr>
          <w:rFonts w:ascii="Arial" w:hAnsi="Arial" w:cs="Arial"/>
        </w:rPr>
        <w:t xml:space="preserve"> </w:t>
      </w:r>
      <w:r w:rsidR="00C03BD1">
        <w:rPr>
          <w:rFonts w:ascii="Arial" w:hAnsi="Arial" w:cs="Arial"/>
        </w:rPr>
        <w:t>Tedy naplnil vše, co je u kvalitní práce očekávané, ovšem postrádám v práci jakousi přidanou hodnotu, možná větší ponoření do problematiky, které zanechá výsledný dojem o skutečném zájmu diplomanta o dané téma.</w:t>
      </w:r>
    </w:p>
    <w:p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5266C4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5266C4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31. 5. 2020</w:t>
      </w:r>
    </w:p>
    <w:p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86" w:rsidRDefault="00CD0C86">
      <w:r>
        <w:separator/>
      </w:r>
    </w:p>
  </w:endnote>
  <w:endnote w:type="continuationSeparator" w:id="0">
    <w:p w:rsidR="00CD0C86" w:rsidRDefault="00C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977EA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977EA" w:rsidRPr="00C76C7C">
      <w:rPr>
        <w:rFonts w:ascii="Arial" w:hAnsi="Arial" w:cs="Arial"/>
        <w:sz w:val="20"/>
        <w:szCs w:val="20"/>
      </w:rPr>
      <w:fldChar w:fldCharType="separate"/>
    </w:r>
    <w:r w:rsidR="00C8637D">
      <w:rPr>
        <w:rFonts w:ascii="Arial" w:hAnsi="Arial" w:cs="Arial"/>
        <w:noProof/>
        <w:sz w:val="20"/>
        <w:szCs w:val="20"/>
      </w:rPr>
      <w:t>1</w:t>
    </w:r>
    <w:r w:rsidR="00F977EA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86" w:rsidRDefault="00CD0C86">
      <w:r>
        <w:separator/>
      </w:r>
    </w:p>
  </w:footnote>
  <w:footnote w:type="continuationSeparator" w:id="0">
    <w:p w:rsidR="00CD0C86" w:rsidRDefault="00CD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9106E"/>
    <w:rsid w:val="000A4363"/>
    <w:rsid w:val="000D42F4"/>
    <w:rsid w:val="000E4C3D"/>
    <w:rsid w:val="000E7321"/>
    <w:rsid w:val="00113B53"/>
    <w:rsid w:val="00117351"/>
    <w:rsid w:val="001744F1"/>
    <w:rsid w:val="00175CEF"/>
    <w:rsid w:val="001B6DA3"/>
    <w:rsid w:val="001E7138"/>
    <w:rsid w:val="00236391"/>
    <w:rsid w:val="00237EBA"/>
    <w:rsid w:val="00283876"/>
    <w:rsid w:val="00291A9E"/>
    <w:rsid w:val="002A61DE"/>
    <w:rsid w:val="002B04D2"/>
    <w:rsid w:val="002C7CB3"/>
    <w:rsid w:val="002D0617"/>
    <w:rsid w:val="002E6514"/>
    <w:rsid w:val="00324D4F"/>
    <w:rsid w:val="00351139"/>
    <w:rsid w:val="00351610"/>
    <w:rsid w:val="00364DE3"/>
    <w:rsid w:val="00371EB1"/>
    <w:rsid w:val="003B75F0"/>
    <w:rsid w:val="004011F5"/>
    <w:rsid w:val="00403DC6"/>
    <w:rsid w:val="00404B69"/>
    <w:rsid w:val="00453728"/>
    <w:rsid w:val="00482056"/>
    <w:rsid w:val="00491BCF"/>
    <w:rsid w:val="004A56EB"/>
    <w:rsid w:val="004A66CB"/>
    <w:rsid w:val="004E225C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C45E5"/>
    <w:rsid w:val="006E3E5E"/>
    <w:rsid w:val="00745F90"/>
    <w:rsid w:val="0075457D"/>
    <w:rsid w:val="00754799"/>
    <w:rsid w:val="00767259"/>
    <w:rsid w:val="007676A5"/>
    <w:rsid w:val="007D682B"/>
    <w:rsid w:val="008356A9"/>
    <w:rsid w:val="0087492B"/>
    <w:rsid w:val="00874B44"/>
    <w:rsid w:val="00894A83"/>
    <w:rsid w:val="008B659A"/>
    <w:rsid w:val="008C70B8"/>
    <w:rsid w:val="008E2B3F"/>
    <w:rsid w:val="008E4D2B"/>
    <w:rsid w:val="00927E0D"/>
    <w:rsid w:val="009316D4"/>
    <w:rsid w:val="00937ECD"/>
    <w:rsid w:val="009565DD"/>
    <w:rsid w:val="00956CAA"/>
    <w:rsid w:val="009814FB"/>
    <w:rsid w:val="00996403"/>
    <w:rsid w:val="009A0CF1"/>
    <w:rsid w:val="009D6BC5"/>
    <w:rsid w:val="00A13218"/>
    <w:rsid w:val="00A4798A"/>
    <w:rsid w:val="00A50012"/>
    <w:rsid w:val="00A86290"/>
    <w:rsid w:val="00A91122"/>
    <w:rsid w:val="00AB1502"/>
    <w:rsid w:val="00AB6350"/>
    <w:rsid w:val="00AD2D06"/>
    <w:rsid w:val="00AE4E5D"/>
    <w:rsid w:val="00AF11A1"/>
    <w:rsid w:val="00B76CA3"/>
    <w:rsid w:val="00B807F5"/>
    <w:rsid w:val="00BA07E7"/>
    <w:rsid w:val="00BA09E3"/>
    <w:rsid w:val="00BB6B85"/>
    <w:rsid w:val="00BC3507"/>
    <w:rsid w:val="00BC6FE9"/>
    <w:rsid w:val="00BF75D7"/>
    <w:rsid w:val="00C03BD1"/>
    <w:rsid w:val="00C07283"/>
    <w:rsid w:val="00C3334E"/>
    <w:rsid w:val="00C74D8D"/>
    <w:rsid w:val="00C76C7C"/>
    <w:rsid w:val="00C86031"/>
    <w:rsid w:val="00C8637D"/>
    <w:rsid w:val="00CC3F61"/>
    <w:rsid w:val="00CD0144"/>
    <w:rsid w:val="00CD0C86"/>
    <w:rsid w:val="00CD23A9"/>
    <w:rsid w:val="00CD67CA"/>
    <w:rsid w:val="00D03AE8"/>
    <w:rsid w:val="00D127E9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5179B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577CD"/>
    <w:rsid w:val="00F62B25"/>
    <w:rsid w:val="00F977EA"/>
    <w:rsid w:val="00FA49F0"/>
    <w:rsid w:val="00FA7617"/>
    <w:rsid w:val="00FB6237"/>
    <w:rsid w:val="00FC1010"/>
    <w:rsid w:val="00FD5EA6"/>
    <w:rsid w:val="00FE454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7D746-C7F0-4447-9A42-E7131228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2941-497E-415D-9E31-B1FE430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jurcova</cp:lastModifiedBy>
  <cp:revision>3</cp:revision>
  <dcterms:created xsi:type="dcterms:W3CDTF">2020-06-01T23:28:00Z</dcterms:created>
  <dcterms:modified xsi:type="dcterms:W3CDTF">2020-06-01T23:28:00Z</dcterms:modified>
</cp:coreProperties>
</file>