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D8" w:rsidRPr="00425ED8" w:rsidRDefault="00425ED8" w:rsidP="00425ED8">
      <w:pPr>
        <w:jc w:val="center"/>
        <w:rPr>
          <w:rFonts w:eastAsia="Times New Roman" w:cs="Times New Roman"/>
          <w:b/>
          <w:sz w:val="26"/>
          <w:szCs w:val="26"/>
        </w:rPr>
      </w:pPr>
      <w:r w:rsidRPr="00425ED8">
        <w:rPr>
          <w:rFonts w:eastAsia="Times New Roman" w:cs="Times New Roman"/>
          <w:b/>
          <w:sz w:val="26"/>
          <w:szCs w:val="26"/>
        </w:rPr>
        <w:t>ZÁPADOČESKÁ UNIVERZITA V PLZNI</w:t>
      </w:r>
    </w:p>
    <w:p w:rsidR="00425ED8" w:rsidRPr="00425ED8" w:rsidRDefault="00425ED8" w:rsidP="00425ED8">
      <w:pPr>
        <w:jc w:val="center"/>
        <w:rPr>
          <w:rFonts w:eastAsia="Times New Roman" w:cs="Times New Roman"/>
          <w:b/>
          <w:sz w:val="26"/>
          <w:szCs w:val="26"/>
        </w:rPr>
      </w:pPr>
      <w:r w:rsidRPr="00425ED8">
        <w:rPr>
          <w:rFonts w:eastAsia="Times New Roman" w:cs="Times New Roman"/>
          <w:b/>
          <w:sz w:val="26"/>
          <w:szCs w:val="26"/>
        </w:rPr>
        <w:t>Fakulta právnická</w:t>
      </w:r>
    </w:p>
    <w:p w:rsidR="00425ED8" w:rsidRPr="00425ED8" w:rsidRDefault="00425ED8" w:rsidP="00425ED8">
      <w:pPr>
        <w:pBdr>
          <w:bottom w:val="single" w:sz="6" w:space="1" w:color="auto"/>
        </w:pBdr>
        <w:jc w:val="center"/>
        <w:rPr>
          <w:rFonts w:eastAsia="Times New Roman" w:cs="Times New Roman"/>
          <w:b/>
          <w:sz w:val="26"/>
          <w:szCs w:val="26"/>
        </w:rPr>
      </w:pPr>
      <w:r w:rsidRPr="00425ED8">
        <w:rPr>
          <w:rFonts w:eastAsia="Times New Roman" w:cs="Times New Roman"/>
          <w:b/>
          <w:sz w:val="26"/>
          <w:szCs w:val="26"/>
        </w:rPr>
        <w:t>Katedra správního práva</w:t>
      </w:r>
    </w:p>
    <w:p w:rsidR="00425ED8" w:rsidRPr="00425ED8" w:rsidRDefault="00425ED8" w:rsidP="00425ED8">
      <w:pPr>
        <w:rPr>
          <w:rFonts w:eastAsia="Times New Roman" w:cs="Times New Roman"/>
        </w:rPr>
      </w:pPr>
    </w:p>
    <w:p w:rsidR="00425ED8" w:rsidRDefault="00425ED8" w:rsidP="00425ED8">
      <w:pPr>
        <w:jc w:val="center"/>
        <w:rPr>
          <w:rFonts w:eastAsia="Times New Roman" w:cs="Times New Roman"/>
          <w:b/>
          <w:sz w:val="22"/>
          <w:szCs w:val="28"/>
        </w:rPr>
      </w:pPr>
      <w:r w:rsidRPr="00425ED8">
        <w:rPr>
          <w:rFonts w:eastAsia="Times New Roman" w:cs="Times New Roman"/>
          <w:b/>
          <w:sz w:val="28"/>
          <w:szCs w:val="28"/>
        </w:rPr>
        <w:t xml:space="preserve">Posudek </w:t>
      </w:r>
      <w:r w:rsidR="00107614">
        <w:rPr>
          <w:rFonts w:eastAsia="Times New Roman" w:cs="Times New Roman"/>
          <w:b/>
          <w:sz w:val="28"/>
          <w:szCs w:val="28"/>
        </w:rPr>
        <w:t xml:space="preserve">oponenta </w:t>
      </w:r>
      <w:r w:rsidRPr="00425ED8">
        <w:rPr>
          <w:rFonts w:eastAsia="Times New Roman" w:cs="Times New Roman"/>
          <w:b/>
          <w:sz w:val="28"/>
          <w:szCs w:val="28"/>
        </w:rPr>
        <w:t>diplomové práce</w:t>
      </w:r>
    </w:p>
    <w:p w:rsidR="00425ED8" w:rsidRPr="00425ED8" w:rsidRDefault="00425ED8" w:rsidP="00425ED8">
      <w:pPr>
        <w:jc w:val="center"/>
        <w:rPr>
          <w:rFonts w:eastAsia="Times New Roman" w:cs="Times New Roman"/>
          <w:b/>
        </w:rPr>
      </w:pPr>
    </w:p>
    <w:p w:rsidR="00425ED8" w:rsidRPr="00425ED8" w:rsidRDefault="00425ED8" w:rsidP="00425ED8">
      <w:pPr>
        <w:spacing w:line="360" w:lineRule="auto"/>
        <w:ind w:left="2124" w:hanging="2124"/>
        <w:jc w:val="both"/>
        <w:rPr>
          <w:rFonts w:eastAsia="Times New Roman" w:cs="Times New Roman"/>
          <w:b/>
        </w:rPr>
      </w:pPr>
      <w:r w:rsidRPr="00425ED8">
        <w:rPr>
          <w:rFonts w:eastAsia="Times New Roman" w:cs="Times New Roman"/>
          <w:b/>
        </w:rPr>
        <w:t>Název práce:</w:t>
      </w:r>
      <w:r w:rsidRPr="00425ED8">
        <w:rPr>
          <w:rFonts w:eastAsia="Times New Roman" w:cs="Times New Roman"/>
          <w:b/>
        </w:rPr>
        <w:tab/>
      </w:r>
      <w:r w:rsidR="00CF13E7">
        <w:rPr>
          <w:rFonts w:eastAsia="Times New Roman" w:cs="Times New Roman"/>
          <w:b/>
        </w:rPr>
        <w:t>Postavení účastníka přestupkového řízení</w:t>
      </w:r>
    </w:p>
    <w:p w:rsidR="00425ED8" w:rsidRPr="00425ED8" w:rsidRDefault="009B799D" w:rsidP="00425ED8">
      <w:pPr>
        <w:spacing w:line="360" w:lineRule="auto"/>
        <w:jc w:val="both"/>
        <w:rPr>
          <w:rFonts w:eastAsia="Times New Roman" w:cs="Times New Roman"/>
          <w:b/>
        </w:rPr>
      </w:pPr>
      <w:r>
        <w:rPr>
          <w:rFonts w:eastAsia="Times New Roman" w:cs="Times New Roman"/>
          <w:b/>
        </w:rPr>
        <w:t>Diplomant</w:t>
      </w:r>
      <w:r w:rsidR="00425ED8" w:rsidRPr="00425ED8">
        <w:rPr>
          <w:rFonts w:eastAsia="Times New Roman" w:cs="Times New Roman"/>
          <w:b/>
        </w:rPr>
        <w:t>ka:</w:t>
      </w:r>
      <w:r w:rsidR="00425ED8" w:rsidRPr="00425ED8">
        <w:rPr>
          <w:rFonts w:eastAsia="Times New Roman" w:cs="Times New Roman"/>
          <w:b/>
        </w:rPr>
        <w:tab/>
      </w:r>
      <w:r w:rsidR="00CF13E7">
        <w:rPr>
          <w:rFonts w:eastAsia="Times New Roman" w:cs="Times New Roman"/>
          <w:b/>
        </w:rPr>
        <w:t xml:space="preserve">Martin </w:t>
      </w:r>
      <w:proofErr w:type="spellStart"/>
      <w:r w:rsidR="00CF13E7">
        <w:rPr>
          <w:rFonts w:eastAsia="Times New Roman" w:cs="Times New Roman"/>
          <w:b/>
        </w:rPr>
        <w:t>Reichelt</w:t>
      </w:r>
      <w:proofErr w:type="spellEnd"/>
      <w:r w:rsidR="00425ED8" w:rsidRPr="00425ED8">
        <w:rPr>
          <w:rFonts w:eastAsia="Times New Roman" w:cs="Times New Roman"/>
          <w:b/>
        </w:rPr>
        <w:t xml:space="preserve"> </w:t>
      </w:r>
    </w:p>
    <w:p w:rsidR="00425ED8" w:rsidRPr="00425ED8" w:rsidRDefault="00425ED8" w:rsidP="00B9033C">
      <w:pPr>
        <w:pBdr>
          <w:bottom w:val="single" w:sz="6" w:space="1" w:color="auto"/>
        </w:pBdr>
        <w:spacing w:line="360" w:lineRule="auto"/>
        <w:jc w:val="both"/>
        <w:rPr>
          <w:rFonts w:eastAsia="Times New Roman" w:cs="Times New Roman"/>
          <w:b/>
        </w:rPr>
      </w:pPr>
      <w:r w:rsidRPr="00425ED8">
        <w:rPr>
          <w:rFonts w:eastAsia="Times New Roman" w:cs="Times New Roman"/>
          <w:b/>
        </w:rPr>
        <w:t>Autor posudku:</w:t>
      </w:r>
      <w:r w:rsidRPr="00425ED8">
        <w:rPr>
          <w:rFonts w:eastAsia="Times New Roman" w:cs="Times New Roman"/>
          <w:b/>
        </w:rPr>
        <w:tab/>
        <w:t xml:space="preserve">JUDr. </w:t>
      </w:r>
      <w:r>
        <w:rPr>
          <w:rFonts w:eastAsia="Times New Roman" w:cs="Times New Roman"/>
          <w:b/>
        </w:rPr>
        <w:t>Jana Balounová</w:t>
      </w:r>
    </w:p>
    <w:p w:rsidR="00256DE3" w:rsidRDefault="00256DE3" w:rsidP="00425ED8">
      <w:pPr>
        <w:jc w:val="both"/>
        <w:rPr>
          <w:rFonts w:eastAsia="Times New Roman" w:cs="Times New Roman"/>
          <w:b/>
        </w:rPr>
      </w:pPr>
    </w:p>
    <w:p w:rsidR="00256DE3" w:rsidRPr="00256DE3" w:rsidRDefault="00425ED8" w:rsidP="00256DE3">
      <w:pPr>
        <w:spacing w:after="120"/>
        <w:jc w:val="both"/>
        <w:rPr>
          <w:rFonts w:eastAsia="Times New Roman" w:cs="Times New Roman"/>
          <w:b/>
        </w:rPr>
      </w:pPr>
      <w:r w:rsidRPr="00425ED8">
        <w:rPr>
          <w:rFonts w:eastAsia="Times New Roman" w:cs="Times New Roman"/>
          <w:b/>
        </w:rPr>
        <w:t>1. Zadání a cíl práce:</w:t>
      </w:r>
    </w:p>
    <w:p w:rsidR="00425ED8" w:rsidRDefault="00CF13E7" w:rsidP="00CF13E7">
      <w:pPr>
        <w:ind w:firstLine="709"/>
        <w:jc w:val="both"/>
        <w:rPr>
          <w:rFonts w:eastAsia="Times New Roman" w:cs="Times New Roman"/>
        </w:rPr>
      </w:pPr>
      <w:r>
        <w:rPr>
          <w:rFonts w:eastAsia="Times New Roman" w:cs="Times New Roman"/>
        </w:rPr>
        <w:t>Tématem diplomové práce autora</w:t>
      </w:r>
      <w:r w:rsidR="00626451">
        <w:rPr>
          <w:rFonts w:eastAsia="Times New Roman" w:cs="Times New Roman"/>
        </w:rPr>
        <w:t xml:space="preserve"> je „</w:t>
      </w:r>
      <w:r>
        <w:rPr>
          <w:rFonts w:eastAsia="Times New Roman" w:cs="Times New Roman"/>
          <w:i/>
        </w:rPr>
        <w:t>Postavení účastníka přestupkového řízení</w:t>
      </w:r>
      <w:r>
        <w:rPr>
          <w:rFonts w:eastAsia="Times New Roman" w:cs="Times New Roman"/>
        </w:rPr>
        <w:t>.“ V úvodu práce autor vymezuje, že cílem práce je „</w:t>
      </w:r>
      <w:r w:rsidRPr="00CF13E7">
        <w:rPr>
          <w:rFonts w:eastAsia="Times New Roman" w:cs="Times New Roman"/>
          <w:i/>
        </w:rPr>
        <w:t>bližší pohled zejména na procesní postavení účastníka řízení s důrazem na jeho práva</w:t>
      </w:r>
      <w:r>
        <w:rPr>
          <w:rFonts w:eastAsia="Times New Roman" w:cs="Times New Roman"/>
        </w:rPr>
        <w:t>,“ současně je autorem dále konstatováno, že se práce zabývá i samotným řízením o přestupcích. Ze závěru práce pak vyplývá, že se autor v práci zaměřil na téma postavení účastníka přestupkového řízení. L</w:t>
      </w:r>
      <w:r w:rsidR="006D1366">
        <w:rPr>
          <w:rFonts w:eastAsia="Times New Roman" w:cs="Times New Roman"/>
        </w:rPr>
        <w:t>ze konstatovat, že zadání práce i její</w:t>
      </w:r>
      <w:r w:rsidR="00626451">
        <w:rPr>
          <w:rFonts w:eastAsia="Times New Roman" w:cs="Times New Roman"/>
        </w:rPr>
        <w:t xml:space="preserve"> cíl</w:t>
      </w:r>
      <w:r w:rsidR="006D1366">
        <w:rPr>
          <w:rFonts w:eastAsia="Times New Roman" w:cs="Times New Roman"/>
        </w:rPr>
        <w:t xml:space="preserve"> odpovídají požadavkům kladeným na tento druh kvalifikační práce.</w:t>
      </w:r>
      <w:r w:rsidR="00626451">
        <w:rPr>
          <w:rFonts w:eastAsia="Times New Roman" w:cs="Times New Roman"/>
        </w:rPr>
        <w:t xml:space="preserve"> </w:t>
      </w:r>
    </w:p>
    <w:p w:rsidR="00B9020A" w:rsidRPr="00425ED8" w:rsidRDefault="00B9020A" w:rsidP="00B9020A">
      <w:pPr>
        <w:ind w:firstLine="709"/>
        <w:jc w:val="both"/>
        <w:rPr>
          <w:rFonts w:eastAsia="Times New Roman" w:cs="Times New Roman"/>
        </w:rPr>
      </w:pPr>
    </w:p>
    <w:p w:rsidR="00256DE3" w:rsidRPr="00425ED8" w:rsidRDefault="00107614" w:rsidP="00256DE3">
      <w:pPr>
        <w:spacing w:after="120"/>
        <w:ind w:left="357" w:hanging="357"/>
        <w:jc w:val="both"/>
        <w:rPr>
          <w:rFonts w:eastAsia="Times New Roman" w:cs="Times New Roman"/>
          <w:b/>
        </w:rPr>
      </w:pPr>
      <w:r>
        <w:rPr>
          <w:rFonts w:eastAsia="Times New Roman" w:cs="Times New Roman"/>
          <w:b/>
        </w:rPr>
        <w:t xml:space="preserve">2. </w:t>
      </w:r>
      <w:r w:rsidRPr="00107614">
        <w:rPr>
          <w:rFonts w:eastAsia="Times New Roman" w:cs="Times New Roman"/>
          <w:b/>
        </w:rPr>
        <w:t xml:space="preserve">Obsahové zpracování práce </w:t>
      </w:r>
      <w:r w:rsidRPr="00107614">
        <w:rPr>
          <w:rFonts w:eastAsia="Times New Roman" w:cs="Times New Roman"/>
        </w:rPr>
        <w:t>(včetně systematického uspořádání, proporcionality a práce s právní úpravou, odbornou literaturou a judikaturou):</w:t>
      </w:r>
    </w:p>
    <w:p w:rsidR="00203ABC" w:rsidRDefault="009B1BFB" w:rsidP="00203ABC">
      <w:pPr>
        <w:ind w:firstLine="709"/>
        <w:jc w:val="both"/>
        <w:rPr>
          <w:rFonts w:eastAsia="Times New Roman" w:cs="Times New Roman"/>
        </w:rPr>
      </w:pPr>
      <w:r>
        <w:rPr>
          <w:rFonts w:eastAsia="Times New Roman" w:cs="Times New Roman"/>
        </w:rPr>
        <w:t>Autor</w:t>
      </w:r>
      <w:r w:rsidR="00CF13E7">
        <w:rPr>
          <w:rFonts w:eastAsia="Times New Roman" w:cs="Times New Roman"/>
        </w:rPr>
        <w:t xml:space="preserve"> </w:t>
      </w:r>
      <w:r>
        <w:rPr>
          <w:rFonts w:eastAsia="Times New Roman" w:cs="Times New Roman"/>
        </w:rPr>
        <w:t xml:space="preserve">si pro svoji diplomovou práci vybral </w:t>
      </w:r>
      <w:r w:rsidR="00CF13E7">
        <w:rPr>
          <w:rFonts w:eastAsia="Times New Roman" w:cs="Times New Roman"/>
        </w:rPr>
        <w:t>téma nepochybně zajímavé, a to jak vzhledem k již proběhlé rekodifikaci přestupkového práva, tak vzhledem k</w:t>
      </w:r>
      <w:r w:rsidR="00203ABC">
        <w:rPr>
          <w:rFonts w:eastAsia="Times New Roman" w:cs="Times New Roman"/>
        </w:rPr>
        <w:t>e skutečnosti, kterou sám autor v úvodu práce konstatuje, a to že přestupkové právo je oblast, s níž se v běžném životě mohou osoby setkávat poměrně často.</w:t>
      </w:r>
    </w:p>
    <w:p w:rsidR="00203ABC" w:rsidRDefault="00203ABC" w:rsidP="00203ABC">
      <w:pPr>
        <w:ind w:firstLine="709"/>
        <w:jc w:val="both"/>
        <w:rPr>
          <w:rFonts w:eastAsia="Times New Roman" w:cs="Times New Roman"/>
        </w:rPr>
      </w:pPr>
    </w:p>
    <w:p w:rsidR="00203ABC" w:rsidRDefault="00BA1E50" w:rsidP="00203ABC">
      <w:pPr>
        <w:ind w:firstLine="709"/>
        <w:jc w:val="both"/>
        <w:rPr>
          <w:rFonts w:eastAsia="Times New Roman" w:cs="Times New Roman"/>
        </w:rPr>
      </w:pPr>
      <w:r>
        <w:rPr>
          <w:rFonts w:eastAsia="Times New Roman" w:cs="Times New Roman"/>
        </w:rPr>
        <w:t xml:space="preserve">Předložená diplomová práce se </w:t>
      </w:r>
      <w:r w:rsidR="001A6F41">
        <w:rPr>
          <w:rFonts w:eastAsia="Times New Roman" w:cs="Times New Roman"/>
        </w:rPr>
        <w:t>vedle úvodu a zá</w:t>
      </w:r>
      <w:r w:rsidR="00203ABC">
        <w:rPr>
          <w:rFonts w:eastAsia="Times New Roman" w:cs="Times New Roman"/>
        </w:rPr>
        <w:t>věru člení na 6</w:t>
      </w:r>
      <w:r w:rsidR="00F507AD">
        <w:rPr>
          <w:rFonts w:eastAsia="Times New Roman" w:cs="Times New Roman"/>
        </w:rPr>
        <w:t xml:space="preserve"> samostatných</w:t>
      </w:r>
      <w:r w:rsidR="001A6F41">
        <w:rPr>
          <w:rFonts w:eastAsia="Times New Roman" w:cs="Times New Roman"/>
        </w:rPr>
        <w:t xml:space="preserve"> kapitol</w:t>
      </w:r>
      <w:r w:rsidR="00203ABC">
        <w:rPr>
          <w:rFonts w:eastAsia="Times New Roman" w:cs="Times New Roman"/>
        </w:rPr>
        <w:t>, které jsou dále</w:t>
      </w:r>
      <w:r w:rsidR="001A6F41">
        <w:rPr>
          <w:rFonts w:eastAsia="Times New Roman" w:cs="Times New Roman"/>
        </w:rPr>
        <w:t xml:space="preserve"> strukturovány do jednotlivých podkapitol. Autor se nejprve věnuje </w:t>
      </w:r>
      <w:r w:rsidR="00203ABC">
        <w:rPr>
          <w:rFonts w:eastAsia="Times New Roman" w:cs="Times New Roman"/>
        </w:rPr>
        <w:t>pramenům práva řízení o přestupcích (kapitola 1), pojmu přestupek (kapitola 2), řízení o přestupcích a jeho právním principům (kapitola 3), na které navaz</w:t>
      </w:r>
      <w:r w:rsidR="00F507AD">
        <w:rPr>
          <w:rFonts w:eastAsia="Times New Roman" w:cs="Times New Roman"/>
        </w:rPr>
        <w:t>ují kapitoly „Subjekty řízení o </w:t>
      </w:r>
      <w:r w:rsidR="00203ABC">
        <w:rPr>
          <w:rFonts w:eastAsia="Times New Roman" w:cs="Times New Roman"/>
        </w:rPr>
        <w:t>přestupcích“ (kapitola 4), „Řízení o přestupcích z hlediska jeho zahájení, průběhu a skončení“ (kapitola 5) a konečně „Postavení účastníka přestupkového řízení“ (kapitola 6).</w:t>
      </w:r>
    </w:p>
    <w:p w:rsidR="00203ABC" w:rsidRDefault="00203ABC" w:rsidP="00203ABC">
      <w:pPr>
        <w:ind w:firstLine="709"/>
        <w:jc w:val="both"/>
        <w:rPr>
          <w:rFonts w:eastAsia="Times New Roman" w:cs="Times New Roman"/>
        </w:rPr>
      </w:pPr>
    </w:p>
    <w:p w:rsidR="00164E62" w:rsidRDefault="002901C6" w:rsidP="00164E62">
      <w:pPr>
        <w:ind w:firstLine="709"/>
        <w:jc w:val="both"/>
        <w:rPr>
          <w:rFonts w:eastAsia="Times New Roman" w:cs="Times New Roman"/>
        </w:rPr>
      </w:pPr>
      <w:r>
        <w:rPr>
          <w:rFonts w:eastAsia="Times New Roman" w:cs="Times New Roman"/>
        </w:rPr>
        <w:t xml:space="preserve">Diplomová práce je </w:t>
      </w:r>
      <w:r w:rsidR="00203ABC">
        <w:rPr>
          <w:rFonts w:eastAsia="Times New Roman" w:cs="Times New Roman"/>
        </w:rPr>
        <w:t xml:space="preserve">víceméně </w:t>
      </w:r>
      <w:r>
        <w:rPr>
          <w:rFonts w:eastAsia="Times New Roman" w:cs="Times New Roman"/>
        </w:rPr>
        <w:t>logicky strukturována, jednotlivé kapitoly jsou navzájem propojeny a</w:t>
      </w:r>
      <w:r w:rsidR="00203ABC">
        <w:rPr>
          <w:rFonts w:eastAsia="Times New Roman" w:cs="Times New Roman"/>
        </w:rPr>
        <w:t xml:space="preserve"> poměrně</w:t>
      </w:r>
      <w:r>
        <w:rPr>
          <w:rFonts w:eastAsia="Times New Roman" w:cs="Times New Roman"/>
        </w:rPr>
        <w:t xml:space="preserve"> </w:t>
      </w:r>
      <w:r w:rsidR="00151D1B">
        <w:rPr>
          <w:rFonts w:eastAsia="Times New Roman" w:cs="Times New Roman"/>
        </w:rPr>
        <w:t xml:space="preserve">systematicky na sebe navazují. </w:t>
      </w:r>
      <w:r w:rsidR="00B212FE">
        <w:rPr>
          <w:rFonts w:eastAsia="Times New Roman" w:cs="Times New Roman"/>
        </w:rPr>
        <w:t xml:space="preserve">S výjimkou </w:t>
      </w:r>
      <w:r w:rsidR="00203ABC">
        <w:rPr>
          <w:rFonts w:eastAsia="Times New Roman" w:cs="Times New Roman"/>
        </w:rPr>
        <w:t>první a druhé kapitoly,</w:t>
      </w:r>
      <w:r w:rsidR="00B212FE">
        <w:rPr>
          <w:rFonts w:eastAsia="Times New Roman" w:cs="Times New Roman"/>
        </w:rPr>
        <w:t xml:space="preserve"> kter</w:t>
      </w:r>
      <w:r w:rsidR="00203ABC">
        <w:rPr>
          <w:rFonts w:eastAsia="Times New Roman" w:cs="Times New Roman"/>
        </w:rPr>
        <w:t xml:space="preserve">é jsou </w:t>
      </w:r>
      <w:r w:rsidR="00B212FE">
        <w:rPr>
          <w:rFonts w:eastAsia="Times New Roman" w:cs="Times New Roman"/>
        </w:rPr>
        <w:t>oproti ostatním podstatně stručnější, lze kladně hodnotit</w:t>
      </w:r>
      <w:r w:rsidR="00151D1B">
        <w:rPr>
          <w:rFonts w:eastAsia="Times New Roman" w:cs="Times New Roman"/>
        </w:rPr>
        <w:t xml:space="preserve"> i v</w:t>
      </w:r>
      <w:r w:rsidR="00B212FE">
        <w:rPr>
          <w:rFonts w:eastAsia="Times New Roman" w:cs="Times New Roman"/>
        </w:rPr>
        <w:t>yváženost jednotlivých kapitol.</w:t>
      </w:r>
    </w:p>
    <w:p w:rsidR="00164E62" w:rsidRDefault="00164E62" w:rsidP="00164E62">
      <w:pPr>
        <w:spacing w:before="120"/>
        <w:ind w:firstLine="709"/>
        <w:jc w:val="both"/>
        <w:rPr>
          <w:rFonts w:eastAsia="Times New Roman" w:cs="Times New Roman"/>
        </w:rPr>
      </w:pPr>
      <w:r>
        <w:rPr>
          <w:rFonts w:eastAsia="Times New Roman" w:cs="Times New Roman"/>
        </w:rPr>
        <w:t>Ač si autor jako téma své diplomové práce vybral problematiku týkající se postavení účastníka řízení, věnuje se</w:t>
      </w:r>
      <w:r w:rsidR="00F507AD">
        <w:rPr>
          <w:rFonts w:eastAsia="Times New Roman" w:cs="Times New Roman"/>
        </w:rPr>
        <w:t xml:space="preserve"> ve</w:t>
      </w:r>
      <w:r>
        <w:rPr>
          <w:rFonts w:eastAsia="Times New Roman" w:cs="Times New Roman"/>
        </w:rPr>
        <w:t xml:space="preserve"> své práci z velké části spíše popisu přestupkového řízení, než samotnému postavení účastníka. Na jednu stranu je pochopitelné, že se autor ve své práci zabývá i přestupkovým řízením obecně, nicméně je třeba konstatovat, že hlavnímu tématu své práce se autor věnuje poměrně stručně, rozhodně podstatně méně, než by si uvedené téma zasloužilo. Diplomová práce je zejména popisného charakteru, kdy spíše přináší shrnutí zákonné úpravy přestupkového práva, autor však </w:t>
      </w:r>
      <w:r w:rsidR="008F5753">
        <w:rPr>
          <w:rFonts w:eastAsia="Times New Roman" w:cs="Times New Roman"/>
        </w:rPr>
        <w:t xml:space="preserve">málokdy zabíhá do podrobností, s vlastními názory autora v diplomové práci setkáme spíše výjimečně, </w:t>
      </w:r>
      <w:r w:rsidR="005A6CEF">
        <w:rPr>
          <w:rFonts w:eastAsia="Times New Roman" w:cs="Times New Roman"/>
        </w:rPr>
        <w:t xml:space="preserve">pokud se v práci vyskytují, zasloužily by si větší rozpracování. Diplomové práci je </w:t>
      </w:r>
      <w:r w:rsidR="00B97A31">
        <w:rPr>
          <w:rFonts w:eastAsia="Times New Roman" w:cs="Times New Roman"/>
        </w:rPr>
        <w:t xml:space="preserve">tak </w:t>
      </w:r>
      <w:r w:rsidR="005A6CEF">
        <w:rPr>
          <w:rFonts w:eastAsia="Times New Roman" w:cs="Times New Roman"/>
        </w:rPr>
        <w:t>dále nezbytné vytknout, že samotnému tématu práce se autor věnuje až v po</w:t>
      </w:r>
      <w:r w:rsidR="00B97A31">
        <w:rPr>
          <w:rFonts w:eastAsia="Times New Roman" w:cs="Times New Roman"/>
        </w:rPr>
        <w:t>slední kapitole (str. 50 – 68).</w:t>
      </w:r>
    </w:p>
    <w:p w:rsidR="00164E62" w:rsidRDefault="00164E62" w:rsidP="00203ABC">
      <w:pPr>
        <w:ind w:firstLine="709"/>
        <w:jc w:val="both"/>
        <w:rPr>
          <w:rFonts w:eastAsia="Times New Roman" w:cs="Times New Roman"/>
        </w:rPr>
      </w:pPr>
    </w:p>
    <w:p w:rsidR="0097364E" w:rsidRDefault="005A6CEF" w:rsidP="00B212FE">
      <w:pPr>
        <w:spacing w:before="120"/>
        <w:ind w:firstLine="709"/>
        <w:jc w:val="both"/>
        <w:rPr>
          <w:rFonts w:eastAsia="Times New Roman" w:cs="Times New Roman"/>
        </w:rPr>
      </w:pPr>
      <w:r>
        <w:rPr>
          <w:rFonts w:eastAsia="Times New Roman" w:cs="Times New Roman"/>
        </w:rPr>
        <w:lastRenderedPageBreak/>
        <w:t>Při</w:t>
      </w:r>
      <w:r w:rsidR="00B212FE">
        <w:rPr>
          <w:rFonts w:eastAsia="Times New Roman" w:cs="Times New Roman"/>
        </w:rPr>
        <w:t xml:space="preserve"> zpracování práce vychází </w:t>
      </w:r>
      <w:r>
        <w:rPr>
          <w:rFonts w:eastAsia="Times New Roman" w:cs="Times New Roman"/>
        </w:rPr>
        <w:t xml:space="preserve">autor </w:t>
      </w:r>
      <w:r w:rsidR="00B212FE">
        <w:rPr>
          <w:rFonts w:eastAsia="Times New Roman" w:cs="Times New Roman"/>
        </w:rPr>
        <w:t>zejména ze znění právních předpisů a dále též z</w:t>
      </w:r>
      <w:r>
        <w:rPr>
          <w:rFonts w:eastAsia="Times New Roman" w:cs="Times New Roman"/>
        </w:rPr>
        <w:t> odborné literatury</w:t>
      </w:r>
      <w:r w:rsidR="00B212FE">
        <w:rPr>
          <w:rFonts w:eastAsia="Times New Roman" w:cs="Times New Roman"/>
        </w:rPr>
        <w:t xml:space="preserve"> </w:t>
      </w:r>
      <w:r w:rsidR="00151D1B">
        <w:rPr>
          <w:rFonts w:eastAsia="Times New Roman" w:cs="Times New Roman"/>
        </w:rPr>
        <w:t xml:space="preserve">(zejména </w:t>
      </w:r>
      <w:r w:rsidR="00F507AD">
        <w:rPr>
          <w:rFonts w:eastAsia="Times New Roman" w:cs="Times New Roman"/>
        </w:rPr>
        <w:t>komentářové literatury, učebnic</w:t>
      </w:r>
      <w:r>
        <w:rPr>
          <w:rFonts w:eastAsia="Times New Roman" w:cs="Times New Roman"/>
        </w:rPr>
        <w:t xml:space="preserve"> z oblasti správního práva či </w:t>
      </w:r>
      <w:r w:rsidR="00F507AD">
        <w:rPr>
          <w:rFonts w:eastAsia="Times New Roman" w:cs="Times New Roman"/>
        </w:rPr>
        <w:t>článků</w:t>
      </w:r>
      <w:r w:rsidR="00151D1B">
        <w:rPr>
          <w:rFonts w:eastAsia="Times New Roman" w:cs="Times New Roman"/>
        </w:rPr>
        <w:t xml:space="preserve"> z odborných časopisů). Uvedené autor</w:t>
      </w:r>
      <w:r>
        <w:rPr>
          <w:rFonts w:eastAsia="Times New Roman" w:cs="Times New Roman"/>
        </w:rPr>
        <w:t xml:space="preserve"> </w:t>
      </w:r>
      <w:r w:rsidR="00151D1B">
        <w:rPr>
          <w:rFonts w:eastAsia="Times New Roman" w:cs="Times New Roman"/>
        </w:rPr>
        <w:t>vhodně doplňuje prací se soudní judikaturou a strukturu využitých pramenů tak lze pro účely diplomové práce považovat za dostatečnou.</w:t>
      </w:r>
      <w:r w:rsidR="00B212FE">
        <w:rPr>
          <w:rFonts w:eastAsia="Times New Roman" w:cs="Times New Roman"/>
        </w:rPr>
        <w:t xml:space="preserve"> </w:t>
      </w:r>
    </w:p>
    <w:p w:rsidR="000937AE" w:rsidRDefault="000937AE" w:rsidP="00B212FE">
      <w:pPr>
        <w:spacing w:before="120"/>
        <w:ind w:firstLine="709"/>
        <w:jc w:val="both"/>
        <w:rPr>
          <w:rFonts w:eastAsia="Times New Roman" w:cs="Times New Roman"/>
        </w:rPr>
      </w:pPr>
      <w:r>
        <w:rPr>
          <w:rFonts w:eastAsia="Times New Roman" w:cs="Times New Roman"/>
        </w:rPr>
        <w:t>K obsahovému zpracování práce si dále dovolím zmínit následující připomínky:</w:t>
      </w:r>
    </w:p>
    <w:p w:rsidR="005A6CEF" w:rsidRDefault="00F507AD" w:rsidP="000937AE">
      <w:pPr>
        <w:pStyle w:val="Odstavecseseznamem"/>
        <w:numPr>
          <w:ilvl w:val="0"/>
          <w:numId w:val="7"/>
        </w:numPr>
        <w:spacing w:before="120"/>
        <w:jc w:val="both"/>
      </w:pPr>
      <w:r>
        <w:t xml:space="preserve">na str. 9 autor konstatuje </w:t>
      </w:r>
      <w:r w:rsidR="00EC5466">
        <w:t>sbližování principů soudního a správního trestání, k němuž má dle autora docházet v poslední době, odkazuje však na judikaturu z let 2004 či 2007,</w:t>
      </w:r>
    </w:p>
    <w:p w:rsidR="00C37985" w:rsidRDefault="00C37985" w:rsidP="00C37985">
      <w:pPr>
        <w:pStyle w:val="Odstavecseseznamem"/>
        <w:numPr>
          <w:ilvl w:val="0"/>
          <w:numId w:val="7"/>
        </w:numPr>
        <w:spacing w:before="120"/>
        <w:jc w:val="both"/>
      </w:pPr>
      <w:r>
        <w:t>nevho</w:t>
      </w:r>
      <w:r w:rsidR="00672D8E">
        <w:t>dně zvolený název kapitoly 2.3 (</w:t>
      </w:r>
      <w:r>
        <w:t>výstižnější by bylo např. „Skutková pod</w:t>
      </w:r>
      <w:r w:rsidR="00672D8E">
        <w:t>stata přestupku“) a kapitoly 6.3.1 (nevhodné použití slova povětšinou, není zřejmé, jakým osobám je úprava společná),</w:t>
      </w:r>
    </w:p>
    <w:p w:rsidR="00EC5466" w:rsidRDefault="00EC5466" w:rsidP="000937AE">
      <w:pPr>
        <w:pStyle w:val="Odstavecseseznamem"/>
        <w:numPr>
          <w:ilvl w:val="0"/>
          <w:numId w:val="7"/>
        </w:numPr>
        <w:spacing w:before="120"/>
        <w:jc w:val="both"/>
      </w:pPr>
      <w:r>
        <w:t>na str. 24 autor u kompetenčních sporů odkazuje na soudní řád správní, odkázat by však měl v prvé řadě na ustanovení správního řádu,</w:t>
      </w:r>
    </w:p>
    <w:p w:rsidR="00C37985" w:rsidRDefault="00C37985" w:rsidP="000937AE">
      <w:pPr>
        <w:pStyle w:val="Odstavecseseznamem"/>
        <w:numPr>
          <w:ilvl w:val="0"/>
          <w:numId w:val="7"/>
        </w:numPr>
        <w:spacing w:before="120"/>
        <w:jc w:val="both"/>
      </w:pPr>
      <w:r>
        <w:t>na str. 37 autor konstatuje, že řízení by bylo nařízeno,</w:t>
      </w:r>
    </w:p>
    <w:p w:rsidR="00C37985" w:rsidRDefault="00672D8E" w:rsidP="000937AE">
      <w:pPr>
        <w:pStyle w:val="Odstavecseseznamem"/>
        <w:numPr>
          <w:ilvl w:val="0"/>
          <w:numId w:val="7"/>
        </w:numPr>
        <w:spacing w:before="120"/>
        <w:jc w:val="both"/>
      </w:pPr>
      <w:r>
        <w:t>na str. 48 a str. 49 autor uvádí, že řízení končí (spíše může skončit),</w:t>
      </w:r>
    </w:p>
    <w:p w:rsidR="00672D8E" w:rsidRDefault="00672D8E" w:rsidP="00126D6E">
      <w:pPr>
        <w:pStyle w:val="Odstavecseseznamem"/>
        <w:numPr>
          <w:ilvl w:val="0"/>
          <w:numId w:val="7"/>
        </w:numPr>
        <w:spacing w:before="120"/>
        <w:jc w:val="both"/>
      </w:pPr>
      <w:r>
        <w:t>na str. 52 autor uvádí, že svéprávnost může být žádná</w:t>
      </w:r>
      <w:r w:rsidR="00126D6E">
        <w:t xml:space="preserve">, </w:t>
      </w:r>
    </w:p>
    <w:p w:rsidR="00126D6E" w:rsidRDefault="00126D6E" w:rsidP="00126D6E">
      <w:pPr>
        <w:pStyle w:val="Odstavecseseznamem"/>
        <w:numPr>
          <w:ilvl w:val="0"/>
          <w:numId w:val="7"/>
        </w:numPr>
        <w:spacing w:before="120"/>
        <w:jc w:val="both"/>
      </w:pPr>
      <w:r>
        <w:t>na str. 67 autor uvádí, že osoba vystupující v pozici poškozeného může v rámci téhož řízení figurovat i jako svědek.</w:t>
      </w:r>
    </w:p>
    <w:p w:rsidR="00BA1E50" w:rsidRPr="00425ED8" w:rsidRDefault="00BA1E50" w:rsidP="00425ED8">
      <w:pPr>
        <w:jc w:val="both"/>
        <w:rPr>
          <w:rFonts w:eastAsia="Times New Roman" w:cs="Times New Roman"/>
        </w:rPr>
      </w:pPr>
    </w:p>
    <w:p w:rsidR="00107614" w:rsidRDefault="00107614" w:rsidP="00107614">
      <w:pPr>
        <w:jc w:val="both"/>
        <w:rPr>
          <w:rFonts w:eastAsia="Times New Roman" w:cs="Times New Roman"/>
          <w:b/>
        </w:rPr>
      </w:pPr>
      <w:r w:rsidRPr="00107614">
        <w:rPr>
          <w:rFonts w:eastAsia="Times New Roman" w:cs="Times New Roman"/>
          <w:b/>
        </w:rPr>
        <w:t xml:space="preserve">3. Formální úroveň práce </w:t>
      </w:r>
      <w:r w:rsidRPr="00BA1E50">
        <w:rPr>
          <w:rFonts w:eastAsia="Times New Roman" w:cs="Times New Roman"/>
        </w:rPr>
        <w:t>(včetně práce s citacemi a poznámkovým aparátem):</w:t>
      </w:r>
    </w:p>
    <w:p w:rsidR="00107614" w:rsidRDefault="008118B3" w:rsidP="00E73E6F">
      <w:pPr>
        <w:spacing w:before="120"/>
        <w:ind w:firstLine="709"/>
        <w:jc w:val="both"/>
        <w:rPr>
          <w:rFonts w:eastAsia="Times New Roman" w:cs="Times New Roman"/>
        </w:rPr>
      </w:pPr>
      <w:r>
        <w:rPr>
          <w:rFonts w:eastAsia="Times New Roman" w:cs="Times New Roman"/>
        </w:rPr>
        <w:t xml:space="preserve">Z hlediska formálních náležitostí práce je </w:t>
      </w:r>
      <w:r w:rsidR="008C2717">
        <w:rPr>
          <w:rFonts w:eastAsia="Times New Roman" w:cs="Times New Roman"/>
        </w:rPr>
        <w:t xml:space="preserve">práce </w:t>
      </w:r>
      <w:r w:rsidR="00B212FE">
        <w:rPr>
          <w:rFonts w:eastAsia="Times New Roman" w:cs="Times New Roman"/>
        </w:rPr>
        <w:t>v</w:t>
      </w:r>
      <w:r w:rsidR="000937AE">
        <w:rPr>
          <w:rFonts w:eastAsia="Times New Roman" w:cs="Times New Roman"/>
        </w:rPr>
        <w:t> </w:t>
      </w:r>
      <w:r w:rsidR="00B212FE">
        <w:rPr>
          <w:rFonts w:eastAsia="Times New Roman" w:cs="Times New Roman"/>
        </w:rPr>
        <w:t>pořádku</w:t>
      </w:r>
      <w:r w:rsidR="000937AE">
        <w:rPr>
          <w:rFonts w:eastAsia="Times New Roman" w:cs="Times New Roman"/>
        </w:rPr>
        <w:t>, je zpracována řádně</w:t>
      </w:r>
      <w:r w:rsidR="00B212FE">
        <w:rPr>
          <w:rFonts w:eastAsia="Times New Roman" w:cs="Times New Roman"/>
        </w:rPr>
        <w:t xml:space="preserve"> a splňuje stanovené </w:t>
      </w:r>
      <w:r w:rsidR="000937AE">
        <w:rPr>
          <w:rFonts w:eastAsia="Times New Roman" w:cs="Times New Roman"/>
        </w:rPr>
        <w:t>požadavky. P</w:t>
      </w:r>
      <w:r w:rsidR="00B212FE">
        <w:rPr>
          <w:rFonts w:eastAsia="Times New Roman" w:cs="Times New Roman"/>
        </w:rPr>
        <w:t xml:space="preserve">ráce se vykazuje pouze drobnými </w:t>
      </w:r>
      <w:r w:rsidR="000937AE">
        <w:rPr>
          <w:rFonts w:eastAsia="Times New Roman" w:cs="Times New Roman"/>
        </w:rPr>
        <w:t>nedo</w:t>
      </w:r>
      <w:r w:rsidR="00253825">
        <w:rPr>
          <w:rFonts w:eastAsia="Times New Roman" w:cs="Times New Roman"/>
        </w:rPr>
        <w:t>statky, z</w:t>
      </w:r>
      <w:r w:rsidR="000937AE">
        <w:rPr>
          <w:rFonts w:eastAsia="Times New Roman" w:cs="Times New Roman"/>
        </w:rPr>
        <w:t xml:space="preserve"> nichž si dovolím poukázat na následující:</w:t>
      </w:r>
    </w:p>
    <w:p w:rsidR="00A34034" w:rsidRDefault="00A34034" w:rsidP="00A34034">
      <w:pPr>
        <w:pStyle w:val="Odstavecseseznamem"/>
        <w:numPr>
          <w:ilvl w:val="0"/>
          <w:numId w:val="6"/>
        </w:numPr>
        <w:spacing w:before="120"/>
        <w:jc w:val="both"/>
      </w:pPr>
      <w:r>
        <w:t>poznámky pod čarou nejsou zakončeny tečkou, ač je to jeden z požadavků vyplývajících z citačních norem,</w:t>
      </w:r>
    </w:p>
    <w:p w:rsidR="00F507AD" w:rsidRDefault="00F507AD" w:rsidP="00A34034">
      <w:pPr>
        <w:pStyle w:val="Odstavecseseznamem"/>
        <w:numPr>
          <w:ilvl w:val="0"/>
          <w:numId w:val="6"/>
        </w:numPr>
        <w:spacing w:before="120"/>
        <w:jc w:val="both"/>
      </w:pPr>
      <w:r>
        <w:t xml:space="preserve">občasné chyby v používání interpunkce (str. 4 – </w:t>
      </w:r>
      <w:proofErr w:type="spellStart"/>
      <w:r>
        <w:t>posl</w:t>
      </w:r>
      <w:proofErr w:type="spellEnd"/>
      <w:r>
        <w:t>. odst., str. 22 – 1. odst., str. 28 – 3. odst., str. 33, str. 51</w:t>
      </w:r>
      <w:r w:rsidR="00672D8E">
        <w:t>, str. 57</w:t>
      </w:r>
      <w:r>
        <w:t xml:space="preserve"> apod.),</w:t>
      </w:r>
    </w:p>
    <w:p w:rsidR="00EC5466" w:rsidRDefault="00EC5466" w:rsidP="00EC5466">
      <w:pPr>
        <w:pStyle w:val="Odstavecseseznamem"/>
        <w:numPr>
          <w:ilvl w:val="0"/>
          <w:numId w:val="6"/>
        </w:numPr>
        <w:spacing w:before="120"/>
        <w:jc w:val="both"/>
      </w:pPr>
      <w:r>
        <w:t>používání slovního spojení „zákon říká“ či „ustanovení říká“ (např. str. 17, str. 19, str. 21, str. 54 apod.),</w:t>
      </w:r>
    </w:p>
    <w:p w:rsidR="00EC5466" w:rsidRDefault="00672D8E" w:rsidP="00EC5466">
      <w:pPr>
        <w:pStyle w:val="Odstavecseseznamem"/>
        <w:numPr>
          <w:ilvl w:val="0"/>
          <w:numId w:val="6"/>
        </w:numPr>
        <w:spacing w:before="120"/>
        <w:jc w:val="both"/>
      </w:pPr>
      <w:r>
        <w:t>v textu občas</w:t>
      </w:r>
      <w:r w:rsidR="00EC5466">
        <w:t xml:space="preserve"> </w:t>
      </w:r>
      <w:r>
        <w:t xml:space="preserve">autorovi </w:t>
      </w:r>
      <w:r w:rsidR="00EC5466">
        <w:t xml:space="preserve">chybí slovo (str. 21 – 2. odst., </w:t>
      </w:r>
      <w:r w:rsidR="00C37985">
        <w:t>str. 39 – 3. odst.</w:t>
      </w:r>
      <w:r>
        <w:t>, str. 40 – 3. odst.</w:t>
      </w:r>
      <w:r w:rsidR="00126D6E">
        <w:t>, str. 66 – 2. odst.</w:t>
      </w:r>
      <w:r>
        <w:t>),</w:t>
      </w:r>
    </w:p>
    <w:p w:rsidR="000937AE" w:rsidRDefault="00A34034" w:rsidP="000937AE">
      <w:pPr>
        <w:pStyle w:val="Odstavecseseznamem"/>
        <w:numPr>
          <w:ilvl w:val="0"/>
          <w:numId w:val="6"/>
        </w:numPr>
        <w:spacing w:before="120"/>
        <w:jc w:val="both"/>
      </w:pPr>
      <w:r>
        <w:t>na některých místech autor</w:t>
      </w:r>
      <w:r w:rsidR="000937AE">
        <w:t xml:space="preserve"> zbytečně opakuje skutečnosti v diplomové již uvedené (např. str. </w:t>
      </w:r>
      <w:r>
        <w:t xml:space="preserve">15, </w:t>
      </w:r>
      <w:r w:rsidR="00EC5466">
        <w:t xml:space="preserve">str. 21, </w:t>
      </w:r>
      <w:r>
        <w:t xml:space="preserve">str. 34, </w:t>
      </w:r>
      <w:r w:rsidR="00C37985">
        <w:t xml:space="preserve">str. 39, </w:t>
      </w:r>
      <w:r>
        <w:t>str. 50),</w:t>
      </w:r>
    </w:p>
    <w:p w:rsidR="00F507AD" w:rsidRDefault="00F507AD" w:rsidP="00A34034">
      <w:pPr>
        <w:pStyle w:val="Odstavecseseznamem"/>
        <w:numPr>
          <w:ilvl w:val="0"/>
          <w:numId w:val="6"/>
        </w:numPr>
        <w:spacing w:before="120"/>
        <w:jc w:val="both"/>
      </w:pPr>
      <w:r>
        <w:t>používání I. pádu množného čísla (str. 5 – „považujeme“, str. 6 – „můžeme“, str. 7 – „zmiňme“ apod.),</w:t>
      </w:r>
    </w:p>
    <w:p w:rsidR="00A34034" w:rsidRDefault="00A34034" w:rsidP="00A34034">
      <w:pPr>
        <w:pStyle w:val="Odstavecseseznamem"/>
        <w:numPr>
          <w:ilvl w:val="0"/>
          <w:numId w:val="6"/>
        </w:numPr>
        <w:spacing w:before="120"/>
        <w:jc w:val="both"/>
      </w:pPr>
      <w:r>
        <w:t>citace zákonných ustanovení či jiných zdrojů by si pro přehlednost zasloužily používání kurzívy (např. str. 4, 9, 12, 17, 25, 39 apod.)</w:t>
      </w:r>
      <w:r w:rsidR="00672D8E">
        <w:t>.</w:t>
      </w:r>
    </w:p>
    <w:p w:rsidR="00A34034" w:rsidRPr="00A34034" w:rsidRDefault="00A34034" w:rsidP="00672D8E">
      <w:pPr>
        <w:pStyle w:val="Odstavecseseznamem"/>
        <w:spacing w:before="120"/>
        <w:jc w:val="both"/>
      </w:pPr>
    </w:p>
    <w:p w:rsidR="00425ED8" w:rsidRPr="00425ED8" w:rsidRDefault="00425ED8" w:rsidP="00256DE3">
      <w:pPr>
        <w:spacing w:after="120"/>
        <w:jc w:val="both"/>
        <w:rPr>
          <w:rFonts w:eastAsia="Times New Roman" w:cs="Times New Roman"/>
          <w:b/>
        </w:rPr>
      </w:pPr>
      <w:r w:rsidRPr="00425ED8">
        <w:rPr>
          <w:rFonts w:eastAsia="Times New Roman" w:cs="Times New Roman"/>
          <w:b/>
        </w:rPr>
        <w:t>4. Celkové hodnocení práce</w:t>
      </w:r>
      <w:r w:rsidR="00107614">
        <w:rPr>
          <w:rFonts w:eastAsia="Times New Roman" w:cs="Times New Roman"/>
          <w:b/>
        </w:rPr>
        <w:t xml:space="preserve"> </w:t>
      </w:r>
      <w:r w:rsidR="00107614" w:rsidRPr="00107614">
        <w:rPr>
          <w:rFonts w:eastAsia="Times New Roman" w:cs="Times New Roman"/>
        </w:rPr>
        <w:t>(včetně naplnění a zadání cíle)</w:t>
      </w:r>
      <w:r w:rsidRPr="00107614">
        <w:rPr>
          <w:rFonts w:eastAsia="Times New Roman" w:cs="Times New Roman"/>
        </w:rPr>
        <w:t>:</w:t>
      </w:r>
    </w:p>
    <w:p w:rsidR="00253825" w:rsidRDefault="00B9033C" w:rsidP="00A34034">
      <w:pPr>
        <w:spacing w:before="120"/>
        <w:ind w:firstLine="709"/>
        <w:jc w:val="both"/>
        <w:rPr>
          <w:rFonts w:eastAsia="Times New Roman" w:cs="Times New Roman"/>
        </w:rPr>
      </w:pPr>
      <w:r>
        <w:rPr>
          <w:rFonts w:eastAsia="Times New Roman" w:cs="Times New Roman"/>
        </w:rPr>
        <w:t>Posuzovan</w:t>
      </w:r>
      <w:r w:rsidR="001501CA">
        <w:rPr>
          <w:rFonts w:eastAsia="Times New Roman" w:cs="Times New Roman"/>
        </w:rPr>
        <w:t>ou práci</w:t>
      </w:r>
      <w:r w:rsidR="00A34034">
        <w:rPr>
          <w:rFonts w:eastAsia="Times New Roman" w:cs="Times New Roman"/>
        </w:rPr>
        <w:t xml:space="preserve"> lze považovat za práci, která odpovídá požadavkům kladeným na </w:t>
      </w:r>
      <w:r w:rsidR="0045183C">
        <w:rPr>
          <w:rFonts w:eastAsia="Times New Roman" w:cs="Times New Roman"/>
        </w:rPr>
        <w:t>diplomové práce, přič</w:t>
      </w:r>
      <w:r w:rsidR="00253825">
        <w:rPr>
          <w:rFonts w:eastAsia="Times New Roman" w:cs="Times New Roman"/>
        </w:rPr>
        <w:t xml:space="preserve">emž zadání a cíl práce byly </w:t>
      </w:r>
      <w:r w:rsidR="00D82CD1">
        <w:rPr>
          <w:rFonts w:eastAsia="Times New Roman" w:cs="Times New Roman"/>
        </w:rPr>
        <w:t xml:space="preserve">s výše uvedenými výtkami </w:t>
      </w:r>
      <w:r w:rsidR="00253825">
        <w:rPr>
          <w:rFonts w:eastAsia="Times New Roman" w:cs="Times New Roman"/>
        </w:rPr>
        <w:t>naplněny. Ač je třeba konstatovat, že ku prospěchu práce by b</w:t>
      </w:r>
      <w:r w:rsidR="00A34034">
        <w:rPr>
          <w:rFonts w:eastAsia="Times New Roman" w:cs="Times New Roman"/>
        </w:rPr>
        <w:t>ezpochyby bylo, kdyby se autor více než přestupkovému řízení jako takovému (</w:t>
      </w:r>
      <w:r w:rsidR="001501CA">
        <w:rPr>
          <w:rFonts w:eastAsia="Times New Roman" w:cs="Times New Roman"/>
        </w:rPr>
        <w:t>jeho pramenům,</w:t>
      </w:r>
      <w:r w:rsidR="00A34034">
        <w:rPr>
          <w:rFonts w:eastAsia="Times New Roman" w:cs="Times New Roman"/>
        </w:rPr>
        <w:t xml:space="preserve"> principům</w:t>
      </w:r>
      <w:r w:rsidR="001501CA">
        <w:rPr>
          <w:rFonts w:eastAsia="Times New Roman" w:cs="Times New Roman"/>
        </w:rPr>
        <w:t xml:space="preserve"> či průběhu</w:t>
      </w:r>
      <w:r w:rsidR="00A34034">
        <w:rPr>
          <w:rFonts w:eastAsia="Times New Roman" w:cs="Times New Roman"/>
        </w:rPr>
        <w:t>)</w:t>
      </w:r>
      <w:r w:rsidR="00253825">
        <w:rPr>
          <w:rFonts w:eastAsia="Times New Roman" w:cs="Times New Roman"/>
        </w:rPr>
        <w:t xml:space="preserve"> </w:t>
      </w:r>
      <w:r w:rsidR="00A34034">
        <w:rPr>
          <w:rFonts w:eastAsia="Times New Roman" w:cs="Times New Roman"/>
        </w:rPr>
        <w:t xml:space="preserve">podrobněji zaměřil na samotné postavení účastníka přestupkového řízení, </w:t>
      </w:r>
      <w:r w:rsidR="001501CA">
        <w:rPr>
          <w:rFonts w:eastAsia="Times New Roman" w:cs="Times New Roman"/>
        </w:rPr>
        <w:t>tj.</w:t>
      </w:r>
      <w:r w:rsidR="00A34034">
        <w:rPr>
          <w:rFonts w:eastAsia="Times New Roman" w:cs="Times New Roman"/>
        </w:rPr>
        <w:t xml:space="preserve"> kdyby se </w:t>
      </w:r>
      <w:r w:rsidR="001501CA">
        <w:rPr>
          <w:rFonts w:eastAsia="Times New Roman" w:cs="Times New Roman"/>
        </w:rPr>
        <w:t xml:space="preserve">např. </w:t>
      </w:r>
      <w:r w:rsidR="00A34034">
        <w:rPr>
          <w:rFonts w:eastAsia="Times New Roman" w:cs="Times New Roman"/>
        </w:rPr>
        <w:t xml:space="preserve">podrobněji věnoval jednotlivým právům či povinnostem, které </w:t>
      </w:r>
      <w:r w:rsidR="00253825">
        <w:rPr>
          <w:rFonts w:eastAsia="Times New Roman" w:cs="Times New Roman"/>
        </w:rPr>
        <w:t xml:space="preserve">účastníci </w:t>
      </w:r>
      <w:r w:rsidR="00A34034">
        <w:rPr>
          <w:rFonts w:eastAsia="Times New Roman" w:cs="Times New Roman"/>
        </w:rPr>
        <w:t xml:space="preserve">v přestupkovém řízení </w:t>
      </w:r>
      <w:r w:rsidR="00253825">
        <w:rPr>
          <w:rFonts w:eastAsia="Times New Roman" w:cs="Times New Roman"/>
        </w:rPr>
        <w:t>mají</w:t>
      </w:r>
      <w:r w:rsidR="001501CA">
        <w:rPr>
          <w:rFonts w:eastAsia="Times New Roman" w:cs="Times New Roman"/>
        </w:rPr>
        <w:t xml:space="preserve">, a </w:t>
      </w:r>
      <w:r w:rsidR="00A34034">
        <w:rPr>
          <w:rFonts w:eastAsia="Times New Roman" w:cs="Times New Roman"/>
        </w:rPr>
        <w:t>kdyby se na místo pouhého konstatování zákonné úpravy spíše podrobněji věnoval</w:t>
      </w:r>
      <w:r w:rsidR="001501CA">
        <w:rPr>
          <w:rFonts w:eastAsia="Times New Roman" w:cs="Times New Roman"/>
        </w:rPr>
        <w:t xml:space="preserve"> např.</w:t>
      </w:r>
      <w:r w:rsidR="00A34034">
        <w:rPr>
          <w:rFonts w:eastAsia="Times New Roman" w:cs="Times New Roman"/>
        </w:rPr>
        <w:t xml:space="preserve"> tomu</w:t>
      </w:r>
      <w:r w:rsidR="001501CA">
        <w:rPr>
          <w:rFonts w:eastAsia="Times New Roman" w:cs="Times New Roman"/>
        </w:rPr>
        <w:t>, jak jsou</w:t>
      </w:r>
      <w:r w:rsidR="00383558">
        <w:rPr>
          <w:rFonts w:eastAsia="Times New Roman" w:cs="Times New Roman"/>
        </w:rPr>
        <w:t xml:space="preserve"> práva</w:t>
      </w:r>
      <w:r w:rsidR="001501CA">
        <w:rPr>
          <w:rFonts w:eastAsia="Times New Roman" w:cs="Times New Roman"/>
        </w:rPr>
        <w:t xml:space="preserve"> účastníků přestupkového řízení</w:t>
      </w:r>
      <w:r w:rsidR="00383558">
        <w:rPr>
          <w:rFonts w:eastAsia="Times New Roman" w:cs="Times New Roman"/>
        </w:rPr>
        <w:t xml:space="preserve"> v praxi realizována.</w:t>
      </w:r>
    </w:p>
    <w:p w:rsidR="00107614" w:rsidRPr="00107614" w:rsidRDefault="00107614" w:rsidP="00107614">
      <w:pPr>
        <w:jc w:val="both"/>
        <w:rPr>
          <w:rFonts w:cs="Times New Roman"/>
        </w:rPr>
      </w:pPr>
    </w:p>
    <w:p w:rsidR="00107614" w:rsidRDefault="00107614" w:rsidP="00107614">
      <w:pPr>
        <w:jc w:val="both"/>
        <w:rPr>
          <w:rFonts w:ascii="Garamond" w:hAnsi="Garamond"/>
          <w:b/>
        </w:rPr>
      </w:pPr>
      <w:r w:rsidRPr="00107614">
        <w:rPr>
          <w:rFonts w:cs="Times New Roman"/>
          <w:b/>
        </w:rPr>
        <w:lastRenderedPageBreak/>
        <w:t xml:space="preserve">5. Doporučení práce k obhajobě </w:t>
      </w:r>
      <w:r w:rsidRPr="00107614">
        <w:rPr>
          <w:rFonts w:cs="Times New Roman"/>
        </w:rPr>
        <w:t>(zda se práce doporučuje či nedoporučuje k obhajobě)</w:t>
      </w:r>
      <w:r w:rsidRPr="00107614">
        <w:rPr>
          <w:rFonts w:cs="Times New Roman"/>
          <w:b/>
        </w:rPr>
        <w:t>:</w:t>
      </w:r>
    </w:p>
    <w:p w:rsidR="00640A25" w:rsidRDefault="00640A25" w:rsidP="00640A25">
      <w:pPr>
        <w:spacing w:before="120"/>
        <w:ind w:firstLine="709"/>
        <w:jc w:val="both"/>
        <w:rPr>
          <w:rFonts w:eastAsia="Times New Roman" w:cs="Times New Roman"/>
        </w:rPr>
      </w:pPr>
      <w:r>
        <w:rPr>
          <w:rFonts w:eastAsia="Times New Roman" w:cs="Times New Roman"/>
        </w:rPr>
        <w:t>Př</w:t>
      </w:r>
      <w:r w:rsidR="00CF13E7">
        <w:rPr>
          <w:rFonts w:eastAsia="Times New Roman" w:cs="Times New Roman"/>
        </w:rPr>
        <w:t xml:space="preserve">edloženou diplomovou práci lze </w:t>
      </w:r>
      <w:r>
        <w:rPr>
          <w:rFonts w:eastAsia="Times New Roman" w:cs="Times New Roman"/>
        </w:rPr>
        <w:t xml:space="preserve">doporučit k obhajobě, </w:t>
      </w:r>
      <w:r w:rsidR="00C44048">
        <w:rPr>
          <w:rFonts w:eastAsia="Times New Roman" w:cs="Times New Roman"/>
        </w:rPr>
        <w:t>přičemž s ohledem na výše zmiňované výtky navrhuji její hodnocení</w:t>
      </w:r>
      <w:r>
        <w:rPr>
          <w:rFonts w:eastAsia="Times New Roman" w:cs="Times New Roman"/>
        </w:rPr>
        <w:t>, v závislosti na průběh</w:t>
      </w:r>
      <w:r w:rsidR="00C5664C">
        <w:rPr>
          <w:rFonts w:eastAsia="Times New Roman" w:cs="Times New Roman"/>
        </w:rPr>
        <w:t>u</w:t>
      </w:r>
      <w:r>
        <w:rPr>
          <w:rFonts w:eastAsia="Times New Roman" w:cs="Times New Roman"/>
        </w:rPr>
        <w:t xml:space="preserve"> </w:t>
      </w:r>
      <w:r w:rsidR="00C5664C">
        <w:rPr>
          <w:rFonts w:eastAsia="Times New Roman" w:cs="Times New Roman"/>
        </w:rPr>
        <w:t>a úrovni</w:t>
      </w:r>
      <w:r>
        <w:rPr>
          <w:rFonts w:eastAsia="Times New Roman" w:cs="Times New Roman"/>
        </w:rPr>
        <w:t xml:space="preserve"> ústní obhajoby,</w:t>
      </w:r>
      <w:r w:rsidR="00253825">
        <w:rPr>
          <w:rFonts w:eastAsia="Times New Roman" w:cs="Times New Roman"/>
        </w:rPr>
        <w:t xml:space="preserve"> </w:t>
      </w:r>
      <w:r w:rsidR="00D82CD1">
        <w:rPr>
          <w:rFonts w:eastAsia="Times New Roman" w:cs="Times New Roman"/>
        </w:rPr>
        <w:t>prozatím stupněm</w:t>
      </w:r>
      <w:r w:rsidR="00126D6E">
        <w:rPr>
          <w:rFonts w:eastAsia="Times New Roman" w:cs="Times New Roman"/>
        </w:rPr>
        <w:t xml:space="preserve"> „dobř</w:t>
      </w:r>
      <w:r w:rsidR="00B97A31">
        <w:rPr>
          <w:rFonts w:eastAsia="Times New Roman" w:cs="Times New Roman"/>
        </w:rPr>
        <w:t>e.“</w:t>
      </w:r>
    </w:p>
    <w:p w:rsidR="00640A25" w:rsidRPr="00425ED8" w:rsidRDefault="00640A25" w:rsidP="00640A25">
      <w:pPr>
        <w:spacing w:before="120"/>
        <w:ind w:firstLine="709"/>
        <w:jc w:val="both"/>
        <w:rPr>
          <w:rFonts w:eastAsia="Times New Roman" w:cs="Times New Roman"/>
        </w:rPr>
      </w:pPr>
    </w:p>
    <w:p w:rsidR="00425ED8" w:rsidRPr="00425ED8" w:rsidRDefault="00107614" w:rsidP="00256DE3">
      <w:pPr>
        <w:spacing w:after="120"/>
        <w:jc w:val="both"/>
        <w:rPr>
          <w:rFonts w:eastAsia="Times New Roman" w:cs="Times New Roman"/>
          <w:b/>
        </w:rPr>
      </w:pPr>
      <w:r>
        <w:rPr>
          <w:rFonts w:eastAsia="Times New Roman" w:cs="Times New Roman"/>
          <w:b/>
        </w:rPr>
        <w:t>6</w:t>
      </w:r>
      <w:r w:rsidR="00425ED8" w:rsidRPr="00425ED8">
        <w:rPr>
          <w:rFonts w:eastAsia="Times New Roman" w:cs="Times New Roman"/>
          <w:b/>
        </w:rPr>
        <w:t>. Otázky a připomínky doporučené k rozpravě při obhajobě:</w:t>
      </w:r>
    </w:p>
    <w:p w:rsidR="00C5664C" w:rsidRDefault="00B97A31" w:rsidP="00B97A31">
      <w:pPr>
        <w:ind w:firstLine="709"/>
        <w:jc w:val="both"/>
        <w:rPr>
          <w:rFonts w:eastAsia="Times New Roman" w:cs="Times New Roman"/>
        </w:rPr>
      </w:pPr>
      <w:r>
        <w:rPr>
          <w:rFonts w:eastAsia="Times New Roman" w:cs="Times New Roman"/>
        </w:rPr>
        <w:t xml:space="preserve">V rámci ústní obhajoby by se měl autor vyjádřit k výtkám uvedeným v tomto posudku a současně by měl být schopen formulovat závěry, </w:t>
      </w:r>
      <w:r w:rsidR="00383558">
        <w:rPr>
          <w:rFonts w:eastAsia="Times New Roman" w:cs="Times New Roman"/>
        </w:rPr>
        <w:t>ke kterým při zpracování práce dospěl</w:t>
      </w:r>
      <w:r>
        <w:rPr>
          <w:rFonts w:eastAsia="Times New Roman" w:cs="Times New Roman"/>
        </w:rPr>
        <w:t>.</w:t>
      </w:r>
    </w:p>
    <w:p w:rsidR="00B97A31" w:rsidRDefault="00B97A31" w:rsidP="00383558">
      <w:pPr>
        <w:spacing w:before="120"/>
        <w:ind w:firstLine="709"/>
        <w:jc w:val="both"/>
        <w:rPr>
          <w:rFonts w:eastAsia="Times New Roman" w:cs="Times New Roman"/>
        </w:rPr>
      </w:pPr>
      <w:r>
        <w:rPr>
          <w:rFonts w:eastAsia="Times New Roman" w:cs="Times New Roman"/>
        </w:rPr>
        <w:t xml:space="preserve">Dále navrhuji, aby se autor podrobněji vyjádřil k problematice </w:t>
      </w:r>
      <w:r w:rsidR="001A7AD6">
        <w:rPr>
          <w:rFonts w:eastAsia="Times New Roman" w:cs="Times New Roman"/>
        </w:rPr>
        <w:t>taxativnosti výčtu účastníků řízení dle ustanovení § 68 přestupkového zákona, kterou stručně zmiňuje na str. 50 své diplomové práce, a dále k možnosti nutné obhajoby v rámci přestupkového řízení.</w:t>
      </w:r>
    </w:p>
    <w:p w:rsidR="001A7AD6" w:rsidRDefault="001A7AD6" w:rsidP="00383558">
      <w:pPr>
        <w:spacing w:before="120"/>
        <w:ind w:firstLine="709"/>
        <w:jc w:val="both"/>
        <w:rPr>
          <w:rFonts w:eastAsia="Times New Roman" w:cs="Times New Roman"/>
        </w:rPr>
      </w:pPr>
    </w:p>
    <w:p w:rsidR="00F3164A" w:rsidRDefault="00F3164A" w:rsidP="00425ED8">
      <w:pPr>
        <w:ind w:firstLine="540"/>
        <w:jc w:val="both"/>
        <w:rPr>
          <w:rFonts w:eastAsia="Times New Roman" w:cs="Times New Roman"/>
        </w:rPr>
      </w:pPr>
    </w:p>
    <w:p w:rsidR="00425ED8" w:rsidRDefault="00F3164A" w:rsidP="00425ED8">
      <w:pPr>
        <w:jc w:val="both"/>
        <w:rPr>
          <w:rFonts w:eastAsia="Times New Roman" w:cs="Times New Roman"/>
          <w:b/>
        </w:rPr>
      </w:pPr>
      <w:r>
        <w:rPr>
          <w:rFonts w:eastAsia="Times New Roman" w:cs="Times New Roman"/>
          <w:b/>
        </w:rPr>
        <w:t xml:space="preserve">V Plzni dne </w:t>
      </w:r>
      <w:proofErr w:type="gramStart"/>
      <w:r w:rsidR="00B97A31">
        <w:rPr>
          <w:rFonts w:eastAsia="Times New Roman" w:cs="Times New Roman"/>
          <w:b/>
        </w:rPr>
        <w:t>4</w:t>
      </w:r>
      <w:r w:rsidR="00CF13E7">
        <w:rPr>
          <w:rFonts w:eastAsia="Times New Roman" w:cs="Times New Roman"/>
          <w:b/>
        </w:rPr>
        <w:t>.11</w:t>
      </w:r>
      <w:r w:rsidR="00107614">
        <w:rPr>
          <w:rFonts w:eastAsia="Times New Roman" w:cs="Times New Roman"/>
          <w:b/>
        </w:rPr>
        <w:t>.2019</w:t>
      </w:r>
      <w:proofErr w:type="gramEnd"/>
    </w:p>
    <w:p w:rsidR="00D82CD1" w:rsidRDefault="00D82CD1" w:rsidP="00425ED8">
      <w:pPr>
        <w:jc w:val="both"/>
        <w:rPr>
          <w:rFonts w:eastAsia="Times New Roman" w:cs="Times New Roman"/>
          <w:b/>
        </w:rPr>
      </w:pPr>
      <w:bookmarkStart w:id="0" w:name="_GoBack"/>
      <w:bookmarkEnd w:id="0"/>
    </w:p>
    <w:p w:rsidR="00425ED8" w:rsidRPr="00425ED8" w:rsidRDefault="00425ED8" w:rsidP="00425ED8">
      <w:pPr>
        <w:jc w:val="both"/>
        <w:rPr>
          <w:rFonts w:eastAsia="Times New Roman" w:cs="Times New Roman"/>
          <w:b/>
        </w:rPr>
      </w:pPr>
    </w:p>
    <w:p w:rsidR="00E2615B" w:rsidRPr="00383558" w:rsidRDefault="007D580F" w:rsidP="00383558">
      <w:pPr>
        <w:ind w:left="4248" w:firstLine="708"/>
        <w:jc w:val="center"/>
        <w:rPr>
          <w:rFonts w:eastAsia="Times New Roman" w:cs="Times New Roman"/>
          <w:b/>
        </w:rPr>
      </w:pPr>
      <w:r>
        <w:rPr>
          <w:rFonts w:eastAsia="Times New Roman" w:cs="Times New Roman"/>
          <w:b/>
        </w:rPr>
        <w:t xml:space="preserve">       </w:t>
      </w:r>
      <w:r w:rsidR="00AE1238">
        <w:rPr>
          <w:rFonts w:eastAsia="Times New Roman" w:cs="Times New Roman"/>
          <w:b/>
        </w:rPr>
        <w:t xml:space="preserve">   </w:t>
      </w:r>
      <w:r>
        <w:rPr>
          <w:rFonts w:eastAsia="Times New Roman" w:cs="Times New Roman"/>
          <w:b/>
        </w:rPr>
        <w:t>JUDr. Jana Balounová</w:t>
      </w:r>
    </w:p>
    <w:sectPr w:rsidR="00E2615B" w:rsidRPr="003835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49" w:rsidRDefault="007C6449">
      <w:r>
        <w:separator/>
      </w:r>
    </w:p>
  </w:endnote>
  <w:endnote w:type="continuationSeparator" w:id="0">
    <w:p w:rsidR="007C6449" w:rsidRDefault="007C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4" w:rsidRDefault="00F442C4">
    <w:pPr>
      <w:pStyle w:val="Zpat"/>
      <w:jc w:val="center"/>
    </w:pPr>
    <w:r>
      <w:fldChar w:fldCharType="begin"/>
    </w:r>
    <w:r>
      <w:instrText>PAGE   \* MERGEFORMAT</w:instrText>
    </w:r>
    <w:r>
      <w:fldChar w:fldCharType="separate"/>
    </w:r>
    <w:r w:rsidR="00D82CD1">
      <w:rPr>
        <w:noProof/>
      </w:rPr>
      <w:t>1</w:t>
    </w:r>
    <w:r>
      <w:fldChar w:fldCharType="end"/>
    </w:r>
  </w:p>
  <w:p w:rsidR="00E95834" w:rsidRDefault="007C64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49" w:rsidRDefault="007C6449">
      <w:r>
        <w:separator/>
      </w:r>
    </w:p>
  </w:footnote>
  <w:footnote w:type="continuationSeparator" w:id="0">
    <w:p w:rsidR="007C6449" w:rsidRDefault="007C6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D2F"/>
    <w:multiLevelType w:val="hybridMultilevel"/>
    <w:tmpl w:val="8902AA68"/>
    <w:lvl w:ilvl="0" w:tplc="000AC362">
      <w:numFmt w:val="bullet"/>
      <w:lvlText w:val="-"/>
      <w:lvlJc w:val="left"/>
      <w:pPr>
        <w:ind w:left="1429" w:hanging="360"/>
      </w:pPr>
      <w:rPr>
        <w:rFonts w:ascii="Times New Roman" w:eastAsia="Calibr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1D9F270D"/>
    <w:multiLevelType w:val="hybridMultilevel"/>
    <w:tmpl w:val="9A5656D2"/>
    <w:lvl w:ilvl="0" w:tplc="000AC36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9831C0"/>
    <w:multiLevelType w:val="hybridMultilevel"/>
    <w:tmpl w:val="8B98AA02"/>
    <w:lvl w:ilvl="0" w:tplc="000AC362">
      <w:numFmt w:val="bullet"/>
      <w:lvlText w:val="-"/>
      <w:lvlJc w:val="left"/>
      <w:pPr>
        <w:ind w:left="1429" w:hanging="360"/>
      </w:pPr>
      <w:rPr>
        <w:rFonts w:ascii="Times New Roman" w:eastAsia="Calibr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4B2756DE"/>
    <w:multiLevelType w:val="hybridMultilevel"/>
    <w:tmpl w:val="978412CA"/>
    <w:lvl w:ilvl="0" w:tplc="000AC36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B56B09"/>
    <w:multiLevelType w:val="hybridMultilevel"/>
    <w:tmpl w:val="11D6B7E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6ECF52AD"/>
    <w:multiLevelType w:val="hybridMultilevel"/>
    <w:tmpl w:val="01AA1646"/>
    <w:lvl w:ilvl="0" w:tplc="000AC36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93D66FD"/>
    <w:multiLevelType w:val="hybridMultilevel"/>
    <w:tmpl w:val="AA90D2B2"/>
    <w:lvl w:ilvl="0" w:tplc="000AC36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D8"/>
    <w:rsid w:val="0000523B"/>
    <w:rsid w:val="00042418"/>
    <w:rsid w:val="000937AE"/>
    <w:rsid w:val="000E1BA4"/>
    <w:rsid w:val="000F5564"/>
    <w:rsid w:val="00107614"/>
    <w:rsid w:val="00126D6E"/>
    <w:rsid w:val="001501CA"/>
    <w:rsid w:val="00151D1B"/>
    <w:rsid w:val="00164E62"/>
    <w:rsid w:val="0016733B"/>
    <w:rsid w:val="00193F6F"/>
    <w:rsid w:val="001A6F41"/>
    <w:rsid w:val="001A7AD6"/>
    <w:rsid w:val="00203ABC"/>
    <w:rsid w:val="00253825"/>
    <w:rsid w:val="002546D6"/>
    <w:rsid w:val="00256DE3"/>
    <w:rsid w:val="00265787"/>
    <w:rsid w:val="00274985"/>
    <w:rsid w:val="00280AA4"/>
    <w:rsid w:val="002901C6"/>
    <w:rsid w:val="002C6532"/>
    <w:rsid w:val="002E61F4"/>
    <w:rsid w:val="002F264E"/>
    <w:rsid w:val="00321B70"/>
    <w:rsid w:val="00326B0D"/>
    <w:rsid w:val="00383558"/>
    <w:rsid w:val="003862B0"/>
    <w:rsid w:val="003A0B8D"/>
    <w:rsid w:val="003B4ECD"/>
    <w:rsid w:val="003B5585"/>
    <w:rsid w:val="00425ED8"/>
    <w:rsid w:val="0045183C"/>
    <w:rsid w:val="00451BB5"/>
    <w:rsid w:val="00461CFD"/>
    <w:rsid w:val="0049780A"/>
    <w:rsid w:val="004B0D9B"/>
    <w:rsid w:val="00515C0D"/>
    <w:rsid w:val="00553C4F"/>
    <w:rsid w:val="00566D2F"/>
    <w:rsid w:val="00583298"/>
    <w:rsid w:val="005A6CEF"/>
    <w:rsid w:val="005B6819"/>
    <w:rsid w:val="00626451"/>
    <w:rsid w:val="00640A25"/>
    <w:rsid w:val="00640E38"/>
    <w:rsid w:val="00672D8E"/>
    <w:rsid w:val="00682B17"/>
    <w:rsid w:val="00695AE2"/>
    <w:rsid w:val="006D1366"/>
    <w:rsid w:val="006F3506"/>
    <w:rsid w:val="00703832"/>
    <w:rsid w:val="0078118D"/>
    <w:rsid w:val="007C6449"/>
    <w:rsid w:val="007D580F"/>
    <w:rsid w:val="007F6188"/>
    <w:rsid w:val="008118B3"/>
    <w:rsid w:val="00824A9F"/>
    <w:rsid w:val="008274E7"/>
    <w:rsid w:val="00834B71"/>
    <w:rsid w:val="008C2717"/>
    <w:rsid w:val="008E4D33"/>
    <w:rsid w:val="008F1545"/>
    <w:rsid w:val="008F5753"/>
    <w:rsid w:val="00913690"/>
    <w:rsid w:val="0097364E"/>
    <w:rsid w:val="009A365D"/>
    <w:rsid w:val="009A4C59"/>
    <w:rsid w:val="009B1BFB"/>
    <w:rsid w:val="009B799D"/>
    <w:rsid w:val="00A0259D"/>
    <w:rsid w:val="00A34034"/>
    <w:rsid w:val="00A350D7"/>
    <w:rsid w:val="00AD5C00"/>
    <w:rsid w:val="00AE1238"/>
    <w:rsid w:val="00B212FE"/>
    <w:rsid w:val="00B9020A"/>
    <w:rsid w:val="00B9033C"/>
    <w:rsid w:val="00B97A31"/>
    <w:rsid w:val="00BA1E50"/>
    <w:rsid w:val="00BD6D3D"/>
    <w:rsid w:val="00C37985"/>
    <w:rsid w:val="00C44048"/>
    <w:rsid w:val="00C5664C"/>
    <w:rsid w:val="00C65DF0"/>
    <w:rsid w:val="00CF13E7"/>
    <w:rsid w:val="00D14D20"/>
    <w:rsid w:val="00D33401"/>
    <w:rsid w:val="00D46ED0"/>
    <w:rsid w:val="00D82CD1"/>
    <w:rsid w:val="00D84B7D"/>
    <w:rsid w:val="00D96129"/>
    <w:rsid w:val="00DC2358"/>
    <w:rsid w:val="00E2615B"/>
    <w:rsid w:val="00E73E6F"/>
    <w:rsid w:val="00E91731"/>
    <w:rsid w:val="00EC5466"/>
    <w:rsid w:val="00EF5FF5"/>
    <w:rsid w:val="00F1760E"/>
    <w:rsid w:val="00F3164A"/>
    <w:rsid w:val="00F442C4"/>
    <w:rsid w:val="00F507AD"/>
    <w:rsid w:val="00F75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259D"/>
    <w:pPr>
      <w:spacing w:after="0" w:line="240" w:lineRule="auto"/>
    </w:pPr>
    <w:rPr>
      <w:rFonts w:ascii="Times New Roman" w:hAnsi="Times New Roman"/>
      <w:sz w:val="24"/>
      <w:szCs w:val="24"/>
      <w:lang w:eastAsia="cs-CZ"/>
    </w:rPr>
  </w:style>
  <w:style w:type="paragraph" w:styleId="Nadpis1">
    <w:name w:val="heading 1"/>
    <w:basedOn w:val="Normln"/>
    <w:next w:val="Normln"/>
    <w:link w:val="Nadpis1Char"/>
    <w:uiPriority w:val="9"/>
    <w:qFormat/>
    <w:rsid w:val="00A02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259D"/>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A0259D"/>
    <w:pPr>
      <w:ind w:left="720"/>
      <w:contextualSpacing/>
    </w:pPr>
    <w:rPr>
      <w:rFonts w:eastAsia="Times New Roman" w:cs="Times New Roman"/>
    </w:rPr>
  </w:style>
  <w:style w:type="paragraph" w:styleId="Nadpisobsahu">
    <w:name w:val="TOC Heading"/>
    <w:basedOn w:val="Nadpis1"/>
    <w:next w:val="Normln"/>
    <w:uiPriority w:val="39"/>
    <w:semiHidden/>
    <w:unhideWhenUsed/>
    <w:qFormat/>
    <w:rsid w:val="00A0259D"/>
    <w:pPr>
      <w:spacing w:line="276" w:lineRule="auto"/>
      <w:outlineLvl w:val="9"/>
    </w:pPr>
  </w:style>
  <w:style w:type="paragraph" w:styleId="Zpat">
    <w:name w:val="footer"/>
    <w:basedOn w:val="Normln"/>
    <w:link w:val="ZpatChar"/>
    <w:uiPriority w:val="99"/>
    <w:rsid w:val="00425ED8"/>
    <w:pPr>
      <w:tabs>
        <w:tab w:val="center" w:pos="4536"/>
        <w:tab w:val="right" w:pos="9072"/>
      </w:tabs>
    </w:pPr>
    <w:rPr>
      <w:rFonts w:eastAsia="Times New Roman" w:cs="Times New Roman"/>
      <w:sz w:val="20"/>
      <w:szCs w:val="20"/>
    </w:rPr>
  </w:style>
  <w:style w:type="character" w:customStyle="1" w:styleId="ZpatChar">
    <w:name w:val="Zápatí Char"/>
    <w:basedOn w:val="Standardnpsmoodstavce"/>
    <w:link w:val="Zpat"/>
    <w:uiPriority w:val="99"/>
    <w:rsid w:val="00425ED8"/>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259D"/>
    <w:pPr>
      <w:spacing w:after="0" w:line="240" w:lineRule="auto"/>
    </w:pPr>
    <w:rPr>
      <w:rFonts w:ascii="Times New Roman" w:hAnsi="Times New Roman"/>
      <w:sz w:val="24"/>
      <w:szCs w:val="24"/>
      <w:lang w:eastAsia="cs-CZ"/>
    </w:rPr>
  </w:style>
  <w:style w:type="paragraph" w:styleId="Nadpis1">
    <w:name w:val="heading 1"/>
    <w:basedOn w:val="Normln"/>
    <w:next w:val="Normln"/>
    <w:link w:val="Nadpis1Char"/>
    <w:uiPriority w:val="9"/>
    <w:qFormat/>
    <w:rsid w:val="00A02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259D"/>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A0259D"/>
    <w:pPr>
      <w:ind w:left="720"/>
      <w:contextualSpacing/>
    </w:pPr>
    <w:rPr>
      <w:rFonts w:eastAsia="Times New Roman" w:cs="Times New Roman"/>
    </w:rPr>
  </w:style>
  <w:style w:type="paragraph" w:styleId="Nadpisobsahu">
    <w:name w:val="TOC Heading"/>
    <w:basedOn w:val="Nadpis1"/>
    <w:next w:val="Normln"/>
    <w:uiPriority w:val="39"/>
    <w:semiHidden/>
    <w:unhideWhenUsed/>
    <w:qFormat/>
    <w:rsid w:val="00A0259D"/>
    <w:pPr>
      <w:spacing w:line="276" w:lineRule="auto"/>
      <w:outlineLvl w:val="9"/>
    </w:pPr>
  </w:style>
  <w:style w:type="paragraph" w:styleId="Zpat">
    <w:name w:val="footer"/>
    <w:basedOn w:val="Normln"/>
    <w:link w:val="ZpatChar"/>
    <w:uiPriority w:val="99"/>
    <w:rsid w:val="00425ED8"/>
    <w:pPr>
      <w:tabs>
        <w:tab w:val="center" w:pos="4536"/>
        <w:tab w:val="right" w:pos="9072"/>
      </w:tabs>
    </w:pPr>
    <w:rPr>
      <w:rFonts w:eastAsia="Times New Roman" w:cs="Times New Roman"/>
      <w:sz w:val="20"/>
      <w:szCs w:val="20"/>
    </w:rPr>
  </w:style>
  <w:style w:type="character" w:customStyle="1" w:styleId="ZpatChar">
    <w:name w:val="Zápatí Char"/>
    <w:basedOn w:val="Standardnpsmoodstavce"/>
    <w:link w:val="Zpat"/>
    <w:uiPriority w:val="99"/>
    <w:rsid w:val="00425ED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987</Words>
  <Characters>5828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Balounová</dc:creator>
  <cp:lastModifiedBy>Jana Balounová</cp:lastModifiedBy>
  <cp:revision>12</cp:revision>
  <dcterms:created xsi:type="dcterms:W3CDTF">2019-11-03T11:59:00Z</dcterms:created>
  <dcterms:modified xsi:type="dcterms:W3CDTF">2019-11-05T17:07:00Z</dcterms:modified>
</cp:coreProperties>
</file>