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</w:t>
      </w:r>
      <w:r w:rsidR="006C0690">
        <w:rPr>
          <w:rFonts w:ascii="Garamond" w:hAnsi="Garamond"/>
          <w:b/>
          <w:sz w:val="24"/>
          <w:szCs w:val="24"/>
        </w:rPr>
        <w:t xml:space="preserve"> :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2C6C69" w:rsidRPr="00114343">
        <w:rPr>
          <w:rFonts w:ascii="Garamond" w:hAnsi="Garamond"/>
          <w:b/>
          <w:noProof/>
          <w:sz w:val="24"/>
          <w:szCs w:val="24"/>
        </w:rPr>
        <w:t>HLUBOTISK V ILUSTRACI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2C6C69" w:rsidRPr="00114343">
        <w:rPr>
          <w:rFonts w:ascii="Garamond" w:hAnsi="Garamond"/>
          <w:b/>
          <w:noProof/>
          <w:sz w:val="24"/>
          <w:szCs w:val="24"/>
        </w:rPr>
        <w:t>LEGERSKÁ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2C6C69" w:rsidRPr="00114343">
        <w:rPr>
          <w:rFonts w:ascii="Garamond" w:hAnsi="Garamond"/>
          <w:b/>
          <w:noProof/>
          <w:sz w:val="24"/>
          <w:szCs w:val="24"/>
        </w:rPr>
        <w:t>Kristýna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6C0690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0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2C6C69" w:rsidRPr="00114343">
        <w:rPr>
          <w:rFonts w:ascii="Garamond" w:hAnsi="Garamond"/>
          <w:b/>
          <w:noProof/>
          <w:sz w:val="24"/>
          <w:szCs w:val="24"/>
        </w:rPr>
        <w:t>Ilustrace a grafika, specializace Ilustrace Grafika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2C6C69" w:rsidRPr="00114343">
        <w:rPr>
          <w:rFonts w:ascii="Garamond" w:hAnsi="Garamond"/>
          <w:b/>
          <w:noProof/>
          <w:sz w:val="24"/>
          <w:szCs w:val="24"/>
        </w:rPr>
        <w:t>prof. akad. mal.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2C6C69" w:rsidRPr="00114343">
        <w:rPr>
          <w:rFonts w:ascii="Garamond" w:hAnsi="Garamond"/>
          <w:b/>
          <w:noProof/>
          <w:sz w:val="24"/>
          <w:szCs w:val="24"/>
        </w:rPr>
        <w:t>Mikoláš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2C6C69" w:rsidRPr="00114343">
        <w:rPr>
          <w:rFonts w:ascii="Garamond" w:hAnsi="Garamond"/>
          <w:b/>
          <w:noProof/>
          <w:sz w:val="24"/>
          <w:szCs w:val="24"/>
        </w:rPr>
        <w:t>Axmann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6C0690">
      <w:pPr>
        <w:numPr>
          <w:ilvl w:val="0"/>
          <w:numId w:val="1"/>
        </w:numPr>
        <w:spacing w:after="120" w:line="360" w:lineRule="auto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  <w:r w:rsidR="006C0690">
        <w:rPr>
          <w:rFonts w:ascii="Garamond" w:hAnsi="Garamond"/>
          <w:b/>
          <w:sz w:val="24"/>
          <w:szCs w:val="24"/>
        </w:rPr>
        <w:t xml:space="preserve"> - splněn</w:t>
      </w:r>
      <w:r w:rsidRPr="00141626">
        <w:rPr>
          <w:rFonts w:ascii="Garamond" w:hAnsi="Garamond"/>
          <w:i/>
          <w:sz w:val="24"/>
          <w:szCs w:val="24"/>
        </w:rPr>
        <w:t xml:space="preserve"> </w:t>
      </w:r>
    </w:p>
    <w:p w:rsidR="00207C1D" w:rsidRPr="00A6313F" w:rsidRDefault="00141626" w:rsidP="006C0690">
      <w:pPr>
        <w:numPr>
          <w:ilvl w:val="0"/>
          <w:numId w:val="1"/>
        </w:numPr>
        <w:spacing w:after="120" w:line="360" w:lineRule="auto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  <w:r w:rsidR="00A6313F">
        <w:rPr>
          <w:rFonts w:ascii="Garamond" w:hAnsi="Garamond"/>
          <w:b/>
          <w:sz w:val="24"/>
          <w:szCs w:val="24"/>
        </w:rPr>
        <w:t xml:space="preserve"> :</w:t>
      </w:r>
    </w:p>
    <w:p w:rsidR="00A6313F" w:rsidRDefault="00A6313F" w:rsidP="00A6313F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V souboru hlubotisků s literárním předznamenáním se snoubí nervní citlivost s noblesní velkorysostí. Živelně působící stopy dějů vyhmatávají v nespočtu jednotlivin zákonitost, ve střetech a splývání objevují náhodu jako neodvratitelnost. Kovový nástroj zraňující zrcadlově hladkou plochu kovu přepisuje ozvěnou citové prožívání plynoucího ča</w:t>
      </w:r>
      <w:r w:rsidR="00000F5A">
        <w:rPr>
          <w:rFonts w:ascii="Garamond" w:hAnsi="Garamond"/>
          <w:b/>
          <w:sz w:val="28"/>
          <w:szCs w:val="28"/>
        </w:rPr>
        <w:t>su. Substantiva nejsou důležitá. Podstatné jsou prskající běhy kvantových seskupení,  putování bezejmenných množin. Siločáry se zde ztotožňují stejně</w:t>
      </w:r>
    </w:p>
    <w:p w:rsidR="00000F5A" w:rsidRDefault="00000F5A" w:rsidP="00A6313F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 travinami, s cestami nebo s cyklónami. Měřítko je pouhým zprostředkovatelem dějů, bez nároku na literární interpretaci. Ta zůstává v roli prvotního impulzu. Vztah detailu a jeho násobných ozvěn reflektuje obecné úvahy o světě stejně jako tlející listí v rohu zahrady. </w:t>
      </w:r>
    </w:p>
    <w:p w:rsidR="00674D51" w:rsidRDefault="00000F5A" w:rsidP="00A6313F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   Tento </w:t>
      </w:r>
      <w:r w:rsidR="00674D51">
        <w:rPr>
          <w:rFonts w:ascii="Garamond" w:hAnsi="Garamond"/>
          <w:b/>
          <w:sz w:val="28"/>
          <w:szCs w:val="28"/>
        </w:rPr>
        <w:t xml:space="preserve">hudebně lyrický projev se intuitivně vztahuje k symbolizmu </w:t>
      </w:r>
    </w:p>
    <w:p w:rsidR="00000F5A" w:rsidRDefault="00674D51" w:rsidP="00A6313F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a futurizmu 20. století, stejně jako k poezii orientálních kultur. </w:t>
      </w:r>
    </w:p>
    <w:p w:rsidR="00674D51" w:rsidRDefault="00674D51" w:rsidP="00A6313F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Technika hlubotisku zde slouží evokaci a přepisu prožívání světa </w:t>
      </w:r>
    </w:p>
    <w:p w:rsidR="00674D51" w:rsidRDefault="00674D51" w:rsidP="00A6313F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 jeho bolestné a paradoxní jednotě. Souhrnný dojem z této práce lze pojmenovat jako naléhavost mlčení, tichý zápas a opakovaný souhlas s výzvou ke svědectví.</w:t>
      </w:r>
    </w:p>
    <w:p w:rsidR="00674D51" w:rsidRPr="00A6313F" w:rsidRDefault="00674D51" w:rsidP="00A6313F">
      <w:pPr>
        <w:spacing w:after="120" w:line="360" w:lineRule="auto"/>
        <w:ind w:left="36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Práce je ve všech parametrech původní, navrhuji hodnocení výborně.</w:t>
      </w:r>
    </w:p>
    <w:p w:rsidR="006C0690" w:rsidRDefault="006C0690" w:rsidP="006C069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C0690" w:rsidRDefault="006C0690" w:rsidP="006C069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C0690" w:rsidRDefault="006C0690" w:rsidP="006C069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C0690" w:rsidRDefault="006C0690" w:rsidP="006C069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C0690" w:rsidRDefault="006C0690" w:rsidP="006C069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C0690" w:rsidRDefault="006C0690" w:rsidP="006C069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C0690" w:rsidRDefault="006C0690" w:rsidP="006C0690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674D51" w:rsidRDefault="00141626" w:rsidP="00674D5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C970A7">
        <w:rPr>
          <w:rFonts w:ascii="Garamond" w:hAnsi="Garamond"/>
          <w:b/>
          <w:sz w:val="24"/>
          <w:szCs w:val="24"/>
        </w:rPr>
        <w:t>11.8.2020</w:t>
      </w:r>
      <w:bookmarkStart w:id="1" w:name="_GoBack"/>
      <w:bookmarkEnd w:id="1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2A" w:rsidRDefault="00306D2A" w:rsidP="00460AEB">
      <w:pPr>
        <w:spacing w:after="0" w:line="240" w:lineRule="auto"/>
      </w:pPr>
      <w:r>
        <w:separator/>
      </w:r>
    </w:p>
  </w:endnote>
  <w:endnote w:type="continuationSeparator" w:id="0">
    <w:p w:rsidR="00306D2A" w:rsidRDefault="00306D2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970A7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2A" w:rsidRDefault="00306D2A" w:rsidP="00460AEB">
      <w:pPr>
        <w:spacing w:after="0" w:line="240" w:lineRule="auto"/>
      </w:pPr>
      <w:r>
        <w:separator/>
      </w:r>
    </w:p>
  </w:footnote>
  <w:footnote w:type="continuationSeparator" w:id="0">
    <w:p w:rsidR="00306D2A" w:rsidRDefault="00306D2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0F5A"/>
    <w:rsid w:val="00014AB5"/>
    <w:rsid w:val="00042984"/>
    <w:rsid w:val="000527CE"/>
    <w:rsid w:val="000C6B14"/>
    <w:rsid w:val="00141626"/>
    <w:rsid w:val="00186DBE"/>
    <w:rsid w:val="001D56B6"/>
    <w:rsid w:val="00207C1D"/>
    <w:rsid w:val="00287C07"/>
    <w:rsid w:val="002C6C69"/>
    <w:rsid w:val="00306D2A"/>
    <w:rsid w:val="0031360B"/>
    <w:rsid w:val="003302CA"/>
    <w:rsid w:val="00391A7B"/>
    <w:rsid w:val="003F118F"/>
    <w:rsid w:val="00460AEB"/>
    <w:rsid w:val="00461C4A"/>
    <w:rsid w:val="004C0F89"/>
    <w:rsid w:val="004D54DA"/>
    <w:rsid w:val="004F1712"/>
    <w:rsid w:val="00561C17"/>
    <w:rsid w:val="00573844"/>
    <w:rsid w:val="005A0DC0"/>
    <w:rsid w:val="005B052B"/>
    <w:rsid w:val="00600044"/>
    <w:rsid w:val="00612F02"/>
    <w:rsid w:val="00674D51"/>
    <w:rsid w:val="006770C2"/>
    <w:rsid w:val="006C0690"/>
    <w:rsid w:val="006D0B29"/>
    <w:rsid w:val="006F55CE"/>
    <w:rsid w:val="00724F95"/>
    <w:rsid w:val="007B3AAE"/>
    <w:rsid w:val="008407DD"/>
    <w:rsid w:val="008571C3"/>
    <w:rsid w:val="0090374E"/>
    <w:rsid w:val="00980D7C"/>
    <w:rsid w:val="009D2D8A"/>
    <w:rsid w:val="009E327B"/>
    <w:rsid w:val="009F029A"/>
    <w:rsid w:val="00A03916"/>
    <w:rsid w:val="00A478A6"/>
    <w:rsid w:val="00A6313F"/>
    <w:rsid w:val="00AF3E21"/>
    <w:rsid w:val="00B3473D"/>
    <w:rsid w:val="00B52429"/>
    <w:rsid w:val="00B551DB"/>
    <w:rsid w:val="00BD2065"/>
    <w:rsid w:val="00BD5EF8"/>
    <w:rsid w:val="00BF2AD7"/>
    <w:rsid w:val="00C24051"/>
    <w:rsid w:val="00C970A7"/>
    <w:rsid w:val="00D25461"/>
    <w:rsid w:val="00D2637B"/>
    <w:rsid w:val="00E11343"/>
    <w:rsid w:val="00E47362"/>
    <w:rsid w:val="00E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657B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2020-08-13T07:07:00Z</cp:lastPrinted>
  <dcterms:created xsi:type="dcterms:W3CDTF">2020-08-13T07:07:00Z</dcterms:created>
  <dcterms:modified xsi:type="dcterms:W3CDTF">2020-08-13T07:07:00Z</dcterms:modified>
</cp:coreProperties>
</file>