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8731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4DFF46FB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552DF67" w14:textId="6BCCDABB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BC6B0C">
        <w:rPr>
          <w:rFonts w:ascii="Arial" w:hAnsi="Arial" w:cs="Arial"/>
          <w:b/>
          <w:sz w:val="28"/>
          <w:szCs w:val="28"/>
        </w:rPr>
        <w:t>Kateřinou Vašátkovou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6751528D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35D8C6C9" w14:textId="1EC8F12D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BC6B0C">
        <w:rPr>
          <w:rFonts w:ascii="Arial" w:hAnsi="Arial" w:cs="Arial"/>
          <w:b/>
          <w:sz w:val="28"/>
          <w:szCs w:val="28"/>
        </w:rPr>
        <w:t>Právní postavení trans osob v ČR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584EE582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5C799EB" w14:textId="77777777" w:rsidR="0009106E" w:rsidRDefault="0009106E" w:rsidP="0009106E">
      <w:pPr>
        <w:jc w:val="both"/>
        <w:rPr>
          <w:rFonts w:ascii="Arial" w:hAnsi="Arial" w:cs="Arial"/>
        </w:rPr>
      </w:pPr>
    </w:p>
    <w:p w14:paraId="3568C994" w14:textId="6A59BB5C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diplomová práce je věnovaná </w:t>
      </w:r>
      <w:r w:rsidR="00371EB1">
        <w:rPr>
          <w:rFonts w:ascii="Arial" w:hAnsi="Arial" w:cs="Arial"/>
        </w:rPr>
        <w:t>v tomto</w:t>
      </w:r>
      <w:r w:rsidR="0075457D">
        <w:rPr>
          <w:rFonts w:ascii="Arial" w:hAnsi="Arial" w:cs="Arial"/>
        </w:rPr>
        <w:t xml:space="preserve"> miléniu velmi </w:t>
      </w:r>
      <w:r>
        <w:rPr>
          <w:rFonts w:ascii="Arial" w:hAnsi="Arial" w:cs="Arial"/>
        </w:rPr>
        <w:t xml:space="preserve">aktuálnímu a zároveň společensky </w:t>
      </w:r>
      <w:r w:rsidR="00BC6B0C">
        <w:rPr>
          <w:rFonts w:ascii="Arial" w:hAnsi="Arial" w:cs="Arial"/>
        </w:rPr>
        <w:t xml:space="preserve">značně diskutovanému tématu, na kterém se projevuje </w:t>
      </w:r>
      <w:r w:rsidR="00654795">
        <w:rPr>
          <w:rFonts w:ascii="Arial" w:hAnsi="Arial" w:cs="Arial"/>
        </w:rPr>
        <w:t>myšlenkový posun evropské společnosti</w:t>
      </w:r>
      <w:r>
        <w:rPr>
          <w:rFonts w:ascii="Arial" w:hAnsi="Arial" w:cs="Arial"/>
        </w:rPr>
        <w:t xml:space="preserve">. </w:t>
      </w:r>
      <w:r w:rsidR="00654795">
        <w:rPr>
          <w:rFonts w:ascii="Arial" w:hAnsi="Arial" w:cs="Arial"/>
        </w:rPr>
        <w:t>Diplomantka téma pojala komplexně a zároveň zvolila multidisciplinární přístup, neboť vedle právních otázek řeší také otázky lékařské vědy, etické</w:t>
      </w:r>
      <w:r w:rsidR="006A023F">
        <w:rPr>
          <w:rFonts w:ascii="Arial" w:hAnsi="Arial" w:cs="Arial"/>
        </w:rPr>
        <w:t>, sociologické a další. Domnívám se, že jsem s výslednou podobou práce seznámena nebyla, ovšem i tak je třeba vyzdvihnout diplomantčin zájem o dané téma, který se jistě do výsledné podoby práce promítnul.</w:t>
      </w:r>
    </w:p>
    <w:p w14:paraId="1009FA40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3E488A5C" w14:textId="1AC464F8" w:rsidR="009A0CF1" w:rsidRDefault="005D70E4" w:rsidP="009B5922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175CEF">
        <w:rPr>
          <w:rFonts w:ascii="Arial" w:hAnsi="Arial" w:cs="Arial"/>
        </w:rPr>
        <w:t>šesti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 w:rsidR="00236391">
        <w:rPr>
          <w:rFonts w:ascii="Arial" w:hAnsi="Arial" w:cs="Arial"/>
        </w:rPr>
        <w:t xml:space="preserve">, </w:t>
      </w:r>
      <w:r w:rsidR="006A023F">
        <w:rPr>
          <w:rFonts w:ascii="Arial" w:hAnsi="Arial" w:cs="Arial"/>
        </w:rPr>
        <w:t xml:space="preserve">úvod, závěr, </w:t>
      </w:r>
      <w:r w:rsidR="00614FF8">
        <w:rPr>
          <w:rFonts w:ascii="Arial" w:hAnsi="Arial" w:cs="Arial"/>
        </w:rPr>
        <w:t xml:space="preserve">seznam </w:t>
      </w:r>
      <w:r w:rsidR="00371EB1">
        <w:rPr>
          <w:rFonts w:ascii="Arial" w:hAnsi="Arial" w:cs="Arial"/>
        </w:rPr>
        <w:t xml:space="preserve">použitých </w:t>
      </w:r>
      <w:r w:rsidR="00614FF8">
        <w:rPr>
          <w:rFonts w:ascii="Arial" w:hAnsi="Arial" w:cs="Arial"/>
        </w:rPr>
        <w:t>zkratek</w:t>
      </w:r>
      <w:r w:rsidR="00236391">
        <w:rPr>
          <w:rFonts w:ascii="Arial" w:hAnsi="Arial" w:cs="Arial"/>
        </w:rPr>
        <w:t xml:space="preserve">, </w:t>
      </w:r>
      <w:r w:rsidR="006A023F">
        <w:rPr>
          <w:rFonts w:ascii="Arial" w:hAnsi="Arial" w:cs="Arial"/>
        </w:rPr>
        <w:t xml:space="preserve">česky a </w:t>
      </w:r>
      <w:r>
        <w:rPr>
          <w:rFonts w:ascii="Arial" w:hAnsi="Arial" w:cs="Arial"/>
        </w:rPr>
        <w:t xml:space="preserve">anglicky psané resumé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</w:t>
      </w:r>
      <w:r w:rsidR="006A023F">
        <w:rPr>
          <w:rFonts w:ascii="Arial" w:hAnsi="Arial" w:cs="Arial"/>
        </w:rPr>
        <w:t>literatury a informačních 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14FF8">
        <w:rPr>
          <w:rFonts w:ascii="Arial" w:hAnsi="Arial" w:cs="Arial"/>
        </w:rPr>
        <w:t xml:space="preserve">Čítá celkem </w:t>
      </w:r>
      <w:r w:rsidR="006A023F">
        <w:rPr>
          <w:rFonts w:ascii="Arial" w:hAnsi="Arial" w:cs="Arial"/>
        </w:rPr>
        <w:t>64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6A023F">
        <w:rPr>
          <w:rFonts w:ascii="Arial" w:hAnsi="Arial" w:cs="Arial"/>
        </w:rPr>
        <w:t xml:space="preserve">Po formální, stylistické i jazykové stránce dosahuje </w:t>
      </w:r>
      <w:r w:rsidR="009B5922">
        <w:rPr>
          <w:rFonts w:ascii="Arial" w:hAnsi="Arial" w:cs="Arial"/>
        </w:rPr>
        <w:t>posuzovaná práce velmi dobré úrovně, jen místy je možné objevit překlep nebo gramatickou chybu</w:t>
      </w:r>
      <w:r w:rsidR="00614FF8">
        <w:rPr>
          <w:rFonts w:ascii="Arial" w:hAnsi="Arial" w:cs="Arial"/>
        </w:rPr>
        <w:t>.</w:t>
      </w:r>
      <w:r w:rsidR="009B5922">
        <w:rPr>
          <w:rFonts w:ascii="Arial" w:hAnsi="Arial" w:cs="Arial"/>
        </w:rPr>
        <w:t xml:space="preserve"> </w:t>
      </w:r>
      <w:r w:rsidR="00322C75">
        <w:rPr>
          <w:rFonts w:ascii="Arial" w:hAnsi="Arial" w:cs="Arial"/>
        </w:rPr>
        <w:t xml:space="preserve">Rovněž by bylo vhodnější začínat nové kapitoly vždy na nové stránce. </w:t>
      </w:r>
      <w:r w:rsidR="009B5922">
        <w:rPr>
          <w:rFonts w:ascii="Arial" w:hAnsi="Arial" w:cs="Arial"/>
        </w:rPr>
        <w:t xml:space="preserve">Celkově je </w:t>
      </w:r>
      <w:r w:rsidR="00322C75">
        <w:rPr>
          <w:rFonts w:ascii="Arial" w:hAnsi="Arial" w:cs="Arial"/>
        </w:rPr>
        <w:t xml:space="preserve">však </w:t>
      </w:r>
      <w:r w:rsidR="009B5922">
        <w:rPr>
          <w:rFonts w:ascii="Arial" w:hAnsi="Arial" w:cs="Arial"/>
        </w:rPr>
        <w:t>možné shrnout, že této stránce diplomové práce věnovala diplomantka dostatečnou pozornost.</w:t>
      </w:r>
    </w:p>
    <w:p w14:paraId="7FF0D0F2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548CD8D6" w14:textId="246111D2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614FF8">
        <w:rPr>
          <w:rFonts w:ascii="Arial" w:hAnsi="Arial" w:cs="Arial"/>
        </w:rPr>
        <w:t>Jak již bylo uvedeno výše, d</w:t>
      </w:r>
      <w:r w:rsidR="00AE4E5D">
        <w:rPr>
          <w:rFonts w:ascii="Arial" w:hAnsi="Arial" w:cs="Arial"/>
        </w:rPr>
        <w:t>iplomant</w:t>
      </w:r>
      <w:r w:rsidR="009B5922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 tématu přistoupil</w:t>
      </w:r>
      <w:r w:rsidR="00A17941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9814FB">
        <w:rPr>
          <w:rFonts w:ascii="Arial" w:hAnsi="Arial" w:cs="Arial"/>
        </w:rPr>
        <w:t>, přičemž jeho klíčovým institutům věnoval</w:t>
      </w:r>
      <w:r w:rsidR="00A17941">
        <w:rPr>
          <w:rFonts w:ascii="Arial" w:hAnsi="Arial" w:cs="Arial"/>
        </w:rPr>
        <w:t>a</w:t>
      </w:r>
      <w:r w:rsidR="009814FB">
        <w:rPr>
          <w:rFonts w:ascii="Arial" w:hAnsi="Arial" w:cs="Arial"/>
        </w:rPr>
        <w:t xml:space="preserve"> patřičnou pozornost. </w:t>
      </w:r>
      <w:r w:rsidR="00A17941">
        <w:rPr>
          <w:rFonts w:ascii="Arial" w:hAnsi="Arial" w:cs="Arial"/>
        </w:rPr>
        <w:t>Postupuje logicky, od vysvětlení základních pojmů</w:t>
      </w:r>
      <w:r w:rsidR="0081114C">
        <w:rPr>
          <w:rFonts w:ascii="Arial" w:hAnsi="Arial" w:cs="Arial"/>
        </w:rPr>
        <w:t>.</w:t>
      </w:r>
      <w:r w:rsidR="00A17941">
        <w:rPr>
          <w:rFonts w:ascii="Arial" w:hAnsi="Arial" w:cs="Arial"/>
        </w:rPr>
        <w:t xml:space="preserve"> </w:t>
      </w:r>
      <w:r w:rsidR="009B5922">
        <w:rPr>
          <w:rFonts w:ascii="Arial" w:hAnsi="Arial" w:cs="Arial"/>
        </w:rPr>
        <w:t>V některých kapitolách jsem postrádala větší změření na právní stránku věci, ovšem to bylo vzápětí zhojeno v kapitolách následujících</w:t>
      </w:r>
      <w:r w:rsidR="009814FB">
        <w:rPr>
          <w:rFonts w:ascii="Arial" w:hAnsi="Arial" w:cs="Arial"/>
        </w:rPr>
        <w:t xml:space="preserve">. </w:t>
      </w:r>
      <w:r w:rsidR="009B5922">
        <w:rPr>
          <w:rFonts w:ascii="Arial" w:hAnsi="Arial" w:cs="Arial"/>
        </w:rPr>
        <w:t>V práci se objevují i diplomantčiny myšlenky a postřehy, místy je názor diplomantky velmi jednoznačný a nepokouší se tedy o poukázání na opačnou argumentaci</w:t>
      </w:r>
      <w:r w:rsidR="00175CEF">
        <w:rPr>
          <w:rFonts w:ascii="Arial" w:hAnsi="Arial" w:cs="Arial"/>
        </w:rPr>
        <w:t>.</w:t>
      </w:r>
    </w:p>
    <w:p w14:paraId="3A676C93" w14:textId="7B625023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diplomant</w:t>
      </w:r>
      <w:r w:rsidR="00A17941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9814FB">
        <w:rPr>
          <w:rFonts w:ascii="Arial" w:hAnsi="Arial" w:cs="Arial"/>
        </w:rPr>
        <w:t>vyzdvihuje důležitost a aktuálnost tématu,</w:t>
      </w:r>
      <w:r w:rsidR="00403DC6">
        <w:rPr>
          <w:rFonts w:ascii="Arial" w:hAnsi="Arial" w:cs="Arial"/>
        </w:rPr>
        <w:t xml:space="preserve"> </w:t>
      </w:r>
      <w:r w:rsidR="00E3312E">
        <w:rPr>
          <w:rFonts w:ascii="Arial" w:hAnsi="Arial" w:cs="Arial"/>
        </w:rPr>
        <w:t xml:space="preserve">nastiňuje </w:t>
      </w:r>
      <w:r w:rsidR="009814FB">
        <w:rPr>
          <w:rFonts w:ascii="Arial" w:hAnsi="Arial" w:cs="Arial"/>
        </w:rPr>
        <w:t>její obsah,</w:t>
      </w:r>
      <w:r w:rsidR="00453728">
        <w:rPr>
          <w:rFonts w:ascii="Arial" w:hAnsi="Arial" w:cs="Arial"/>
        </w:rPr>
        <w:t xml:space="preserve"> stanovuje cíle</w:t>
      </w:r>
      <w:r w:rsidR="00A17941">
        <w:rPr>
          <w:rFonts w:ascii="Arial" w:hAnsi="Arial" w:cs="Arial"/>
        </w:rPr>
        <w:t>. K tomu podotýkám, že cílům práce měla diplomantka práce věnovat větší pozornost</w:t>
      </w:r>
      <w:r w:rsidR="00322C75">
        <w:rPr>
          <w:rFonts w:ascii="Arial" w:hAnsi="Arial" w:cs="Arial"/>
        </w:rPr>
        <w:t>, stejně tak metodice práce.</w:t>
      </w:r>
    </w:p>
    <w:p w14:paraId="05A94AF3" w14:textId="016C8CFD" w:rsidR="00322C75" w:rsidRDefault="00322C75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 již jsem uvedla výše, diplomantka ve své práci postupuje systematicky a logicky a pokouší se složité a citlivé téma pojmout komplexním způsobem a co nejvíce ho vyčerpat. </w:t>
      </w:r>
      <w:r w:rsidR="00100EF4">
        <w:rPr>
          <w:rFonts w:ascii="Arial" w:hAnsi="Arial" w:cs="Arial"/>
        </w:rPr>
        <w:t>V kapitole první se věnuje především objasnění ústředních pojmů a historickému vývoji dané problematiky. Obsahem kapitoly druhé je nejdůležitější judikatura ESLP, která se s tématem tzv. trans osob pojí</w:t>
      </w:r>
      <w:r w:rsidR="00386F99">
        <w:rPr>
          <w:rFonts w:ascii="Arial" w:hAnsi="Arial" w:cs="Arial"/>
        </w:rPr>
        <w:t>. Jeho přístup pojímá diplomantka jako klíčový vzor pro právní pojetí v ČR.</w:t>
      </w:r>
      <w:r w:rsidR="0027209B">
        <w:rPr>
          <w:rFonts w:ascii="Arial" w:hAnsi="Arial" w:cs="Arial"/>
        </w:rPr>
        <w:t xml:space="preserve"> Domnívám se, že s ohledem na její význam mohla diplomantka věnovat větší prostor analýze této judikatury, zejména vážení jednotlivých lidských práv ze strany ESLP.</w:t>
      </w:r>
    </w:p>
    <w:p w14:paraId="2CBD0D48" w14:textId="1023CA95" w:rsidR="00E95A65" w:rsidRDefault="00386F99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dalších dvou kapitolách (třetí a čtvrté) mapuje diplomantka ústavní a právní úpravu v ČR, jakož i detailně rozebírá administrativní postup při změně pohlaví. Práci dokresluje poznatky z konzultací s odborníky z řad lékařské obce. Ve třetí kapitole postrádám zapojení většího množství komentářové literatury.</w:t>
      </w:r>
    </w:p>
    <w:p w14:paraId="6BB360BD" w14:textId="7BE7A98D" w:rsidR="00BA07E7" w:rsidRDefault="00386F99" w:rsidP="00736D22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jádro práce považuji kapitoly pátou a šestou, ve kterých diplomantka poukazuje na nedostatky právní úpravy v ČR a poukazuje na návrhy novel právních předpisů, </w:t>
      </w:r>
      <w:r w:rsidR="00736D22">
        <w:rPr>
          <w:rFonts w:ascii="Arial" w:hAnsi="Arial" w:cs="Arial"/>
        </w:rPr>
        <w:t xml:space="preserve">které přebírá za návrhy de lege </w:t>
      </w:r>
      <w:proofErr w:type="spellStart"/>
      <w:r w:rsidR="00736D22">
        <w:rPr>
          <w:rFonts w:ascii="Arial" w:hAnsi="Arial" w:cs="Arial"/>
        </w:rPr>
        <w:t>ferenda</w:t>
      </w:r>
      <w:proofErr w:type="spellEnd"/>
      <w:r w:rsidR="00736D22">
        <w:rPr>
          <w:rFonts w:ascii="Arial" w:hAnsi="Arial" w:cs="Arial"/>
        </w:rPr>
        <w:t>. Rovněž konfrontuje národní judikaturu ČR s judikaturou ESLP.</w:t>
      </w:r>
    </w:p>
    <w:p w14:paraId="5B932DD7" w14:textId="4BB088A2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5266C4">
        <w:rPr>
          <w:rFonts w:ascii="Arial" w:hAnsi="Arial" w:cs="Arial"/>
        </w:rPr>
        <w:t>lomant</w:t>
      </w:r>
      <w:r w:rsidR="00736D22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736D22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3852829F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069EEB8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0AF7E456" w14:textId="0C65C4F1" w:rsidR="00555764" w:rsidRDefault="00C86031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3547EC">
        <w:rPr>
          <w:rFonts w:ascii="Arial" w:hAnsi="Arial" w:cs="Arial"/>
        </w:rPr>
        <w:t>dostatečný</w:t>
      </w:r>
      <w:r w:rsidR="008E4D2B">
        <w:rPr>
          <w:rFonts w:ascii="Arial" w:hAnsi="Arial" w:cs="Arial"/>
        </w:rPr>
        <w:t xml:space="preserve"> fond odborné literatury</w:t>
      </w:r>
      <w:r w:rsidR="005266C4">
        <w:rPr>
          <w:rFonts w:ascii="Arial" w:hAnsi="Arial" w:cs="Arial"/>
        </w:rPr>
        <w:t xml:space="preserve"> a dalších pramenů, které</w:t>
      </w:r>
      <w:r w:rsidR="008E4D2B">
        <w:rPr>
          <w:rFonts w:ascii="Arial" w:hAnsi="Arial" w:cs="Arial"/>
        </w:rPr>
        <w:t xml:space="preserve"> diplomant</w:t>
      </w:r>
      <w:r w:rsidR="00736D22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 w:rsidR="00736D22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 w:rsidR="003547EC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 w:rsidR="003547EC"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62FF6266" w14:textId="77777777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>ESES.CZ vykazuje práce nulovou shodu</w:t>
      </w:r>
      <w:r w:rsidR="002A61DE">
        <w:rPr>
          <w:rFonts w:ascii="Arial" w:hAnsi="Arial" w:cs="Arial"/>
        </w:rPr>
        <w:t>.</w:t>
      </w:r>
    </w:p>
    <w:p w14:paraId="7A6ED4DE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08E9457C" w14:textId="6395D74D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</w:t>
      </w:r>
      <w:r w:rsidR="003547EC">
        <w:rPr>
          <w:rFonts w:ascii="Arial" w:hAnsi="Arial" w:cs="Arial"/>
        </w:rPr>
        <w:t>ce</w:t>
      </w:r>
      <w:r>
        <w:rPr>
          <w:rFonts w:ascii="Arial" w:hAnsi="Arial" w:cs="Arial"/>
        </w:rPr>
        <w:t>, aby se zaměřil</w:t>
      </w:r>
      <w:r w:rsidR="003547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781B4AD5" w14:textId="29515ACB" w:rsidR="00DC4125" w:rsidRDefault="003547EC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Prosím diplomantku, aby podrobila souhrnné analýze judikaturu ESLP a konfrontovala tyto závěry s předestřenou národní judikaturou.</w:t>
      </w:r>
      <w:r w:rsidR="0027209B">
        <w:rPr>
          <w:rFonts w:ascii="Arial" w:hAnsi="Arial" w:cs="Arial"/>
        </w:rPr>
        <w:t xml:space="preserve"> Jaká práva jsou </w:t>
      </w:r>
      <w:r w:rsidR="007616D1">
        <w:rPr>
          <w:rFonts w:ascii="Arial" w:hAnsi="Arial" w:cs="Arial"/>
        </w:rPr>
        <w:t xml:space="preserve">při rozhodování </w:t>
      </w:r>
      <w:r w:rsidR="0027209B">
        <w:rPr>
          <w:rFonts w:ascii="Arial" w:hAnsi="Arial" w:cs="Arial"/>
        </w:rPr>
        <w:t>soudy poměřována?</w:t>
      </w:r>
    </w:p>
    <w:p w14:paraId="4F76B2AA" w14:textId="09C34A2B" w:rsidR="00E24590" w:rsidRPr="0027209B" w:rsidRDefault="003547EC" w:rsidP="0027209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Hodnotíte na základě aktuální judikatury Ústavního soudu ČR, že dochází k větší reflexi judikatury ESLP v otázkách práv trans osob</w:t>
      </w:r>
      <w:r w:rsidR="0027209B">
        <w:rPr>
          <w:rFonts w:ascii="Arial" w:hAnsi="Arial" w:cs="Arial"/>
        </w:rPr>
        <w:t>?</w:t>
      </w:r>
    </w:p>
    <w:p w14:paraId="17B10338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CD53E8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BCDA4CE" w14:textId="447FB236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>i považuji za ucelený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5266C4">
        <w:rPr>
          <w:rFonts w:ascii="Arial" w:hAnsi="Arial" w:cs="Arial"/>
        </w:rPr>
        <w:t xml:space="preserve"> Diplomant</w:t>
      </w:r>
      <w:r w:rsidR="0027209B">
        <w:rPr>
          <w:rFonts w:ascii="Arial" w:hAnsi="Arial" w:cs="Arial"/>
        </w:rPr>
        <w:t xml:space="preserve">ka téma pojala </w:t>
      </w:r>
      <w:proofErr w:type="spellStart"/>
      <w:r w:rsidR="0027209B">
        <w:rPr>
          <w:rFonts w:ascii="Arial" w:hAnsi="Arial" w:cs="Arial"/>
        </w:rPr>
        <w:t>multidisciplinárně</w:t>
      </w:r>
      <w:proofErr w:type="spellEnd"/>
      <w:r w:rsidR="0027209B">
        <w:rPr>
          <w:rFonts w:ascii="Arial" w:hAnsi="Arial" w:cs="Arial"/>
        </w:rPr>
        <w:t>, představila i své názory a postřehy. Z práce je zřejmé její zaujetí pro danou problematiku, což je samozřejmě přínosem. Větší prostor mohl být dopřán analýze rozhodovací činnosti soudů.</w:t>
      </w:r>
    </w:p>
    <w:p w14:paraId="3B3836CC" w14:textId="77777777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66C4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5266C4">
        <w:rPr>
          <w:rFonts w:ascii="Arial" w:hAnsi="Arial" w:cs="Arial"/>
        </w:rPr>
        <w:t xml:space="preserve">mezi </w:t>
      </w:r>
      <w:r w:rsidR="00351139">
        <w:rPr>
          <w:rFonts w:ascii="Arial" w:hAnsi="Arial" w:cs="Arial"/>
        </w:rPr>
        <w:t>výborně</w:t>
      </w:r>
      <w:r w:rsidR="005266C4">
        <w:rPr>
          <w:rFonts w:ascii="Arial" w:hAnsi="Arial" w:cs="Arial"/>
        </w:rPr>
        <w:t xml:space="preserve"> a 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69B0048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3366B1A2" w14:textId="5FDB8F27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</w:t>
      </w:r>
      <w:r w:rsidR="0027209B">
        <w:rPr>
          <w:rFonts w:ascii="Arial" w:hAnsi="Arial" w:cs="Arial"/>
        </w:rPr>
        <w:t>26</w:t>
      </w:r>
      <w:r w:rsidR="005266C4">
        <w:rPr>
          <w:rFonts w:ascii="Arial" w:hAnsi="Arial" w:cs="Arial"/>
        </w:rPr>
        <w:t xml:space="preserve">. </w:t>
      </w:r>
      <w:r w:rsidR="0027209B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202</w:t>
      </w:r>
      <w:r w:rsidR="0027209B">
        <w:rPr>
          <w:rFonts w:ascii="Arial" w:hAnsi="Arial" w:cs="Arial"/>
        </w:rPr>
        <w:t>1</w:t>
      </w:r>
    </w:p>
    <w:p w14:paraId="05B967DA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34D1BB10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6D02165F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E5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FA9F" w14:textId="77777777" w:rsidR="008402A8" w:rsidRDefault="008402A8">
      <w:r>
        <w:separator/>
      </w:r>
    </w:p>
  </w:endnote>
  <w:endnote w:type="continuationSeparator" w:id="0">
    <w:p w14:paraId="2A34CA7C" w14:textId="77777777" w:rsidR="008402A8" w:rsidRDefault="0084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D409" w14:textId="77777777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F977EA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F977EA" w:rsidRPr="00C76C7C">
      <w:rPr>
        <w:rFonts w:ascii="Arial" w:hAnsi="Arial" w:cs="Arial"/>
        <w:sz w:val="20"/>
        <w:szCs w:val="20"/>
      </w:rPr>
      <w:fldChar w:fldCharType="separate"/>
    </w:r>
    <w:r w:rsidR="008C70B8">
      <w:rPr>
        <w:rFonts w:ascii="Arial" w:hAnsi="Arial" w:cs="Arial"/>
        <w:noProof/>
        <w:sz w:val="20"/>
        <w:szCs w:val="20"/>
      </w:rPr>
      <w:t>3</w:t>
    </w:r>
    <w:r w:rsidR="00F977EA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EE0A" w14:textId="77777777" w:rsidR="008402A8" w:rsidRDefault="008402A8">
      <w:r>
        <w:separator/>
      </w:r>
    </w:p>
  </w:footnote>
  <w:footnote w:type="continuationSeparator" w:id="0">
    <w:p w14:paraId="29D05A7B" w14:textId="77777777" w:rsidR="008402A8" w:rsidRDefault="0084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6E"/>
    <w:rsid w:val="0009106E"/>
    <w:rsid w:val="000A4363"/>
    <w:rsid w:val="000D42F4"/>
    <w:rsid w:val="000E4C3D"/>
    <w:rsid w:val="000E7321"/>
    <w:rsid w:val="00100EF4"/>
    <w:rsid w:val="00113B53"/>
    <w:rsid w:val="00117351"/>
    <w:rsid w:val="001744F1"/>
    <w:rsid w:val="00175CEF"/>
    <w:rsid w:val="001B6DA3"/>
    <w:rsid w:val="001E7138"/>
    <w:rsid w:val="00236391"/>
    <w:rsid w:val="00237EBA"/>
    <w:rsid w:val="0027209B"/>
    <w:rsid w:val="00283876"/>
    <w:rsid w:val="00291A9E"/>
    <w:rsid w:val="002A61DE"/>
    <w:rsid w:val="002B04D2"/>
    <w:rsid w:val="002C7CB3"/>
    <w:rsid w:val="002D0617"/>
    <w:rsid w:val="002E6514"/>
    <w:rsid w:val="00322C75"/>
    <w:rsid w:val="00324D4F"/>
    <w:rsid w:val="00351139"/>
    <w:rsid w:val="00351610"/>
    <w:rsid w:val="003547EC"/>
    <w:rsid w:val="00364DE3"/>
    <w:rsid w:val="00371EB1"/>
    <w:rsid w:val="00386F99"/>
    <w:rsid w:val="003A4DE2"/>
    <w:rsid w:val="003B75F0"/>
    <w:rsid w:val="004011F5"/>
    <w:rsid w:val="00403DC6"/>
    <w:rsid w:val="00404B69"/>
    <w:rsid w:val="00453728"/>
    <w:rsid w:val="00482056"/>
    <w:rsid w:val="00491BCF"/>
    <w:rsid w:val="004A56EB"/>
    <w:rsid w:val="004A66CB"/>
    <w:rsid w:val="004E225C"/>
    <w:rsid w:val="005266C4"/>
    <w:rsid w:val="00536B43"/>
    <w:rsid w:val="00555764"/>
    <w:rsid w:val="00560857"/>
    <w:rsid w:val="00576B86"/>
    <w:rsid w:val="005D70E4"/>
    <w:rsid w:val="00605CCD"/>
    <w:rsid w:val="00614FF8"/>
    <w:rsid w:val="00624D8C"/>
    <w:rsid w:val="00654795"/>
    <w:rsid w:val="00657421"/>
    <w:rsid w:val="006A023F"/>
    <w:rsid w:val="006C45E5"/>
    <w:rsid w:val="006E3E5E"/>
    <w:rsid w:val="00721E64"/>
    <w:rsid w:val="00736D22"/>
    <w:rsid w:val="00745F90"/>
    <w:rsid w:val="0075457D"/>
    <w:rsid w:val="00754799"/>
    <w:rsid w:val="007616D1"/>
    <w:rsid w:val="00767259"/>
    <w:rsid w:val="007676A5"/>
    <w:rsid w:val="007D682B"/>
    <w:rsid w:val="0081114C"/>
    <w:rsid w:val="008356A9"/>
    <w:rsid w:val="008402A8"/>
    <w:rsid w:val="0087492B"/>
    <w:rsid w:val="00874B44"/>
    <w:rsid w:val="00894A83"/>
    <w:rsid w:val="008B659A"/>
    <w:rsid w:val="008C70B8"/>
    <w:rsid w:val="008E2B3F"/>
    <w:rsid w:val="008E4D2B"/>
    <w:rsid w:val="00927E0D"/>
    <w:rsid w:val="009316D4"/>
    <w:rsid w:val="00937ECD"/>
    <w:rsid w:val="009565DD"/>
    <w:rsid w:val="00956CAA"/>
    <w:rsid w:val="009814FB"/>
    <w:rsid w:val="00996403"/>
    <w:rsid w:val="009A0CF1"/>
    <w:rsid w:val="009B5922"/>
    <w:rsid w:val="009D6BC5"/>
    <w:rsid w:val="00A13218"/>
    <w:rsid w:val="00A17941"/>
    <w:rsid w:val="00A4798A"/>
    <w:rsid w:val="00A50012"/>
    <w:rsid w:val="00A86290"/>
    <w:rsid w:val="00A91122"/>
    <w:rsid w:val="00AB1502"/>
    <w:rsid w:val="00AB6350"/>
    <w:rsid w:val="00AD2D06"/>
    <w:rsid w:val="00AE4E5D"/>
    <w:rsid w:val="00AF11A1"/>
    <w:rsid w:val="00B76CA3"/>
    <w:rsid w:val="00B807F5"/>
    <w:rsid w:val="00B87BA1"/>
    <w:rsid w:val="00BA07E7"/>
    <w:rsid w:val="00BA09E3"/>
    <w:rsid w:val="00BB6B85"/>
    <w:rsid w:val="00BC3507"/>
    <w:rsid w:val="00BC6B0C"/>
    <w:rsid w:val="00BC6FE9"/>
    <w:rsid w:val="00BF75D7"/>
    <w:rsid w:val="00C03BD1"/>
    <w:rsid w:val="00C07283"/>
    <w:rsid w:val="00C3334E"/>
    <w:rsid w:val="00C74D8D"/>
    <w:rsid w:val="00C76C7C"/>
    <w:rsid w:val="00C86031"/>
    <w:rsid w:val="00CB303D"/>
    <w:rsid w:val="00CC3F61"/>
    <w:rsid w:val="00CD0144"/>
    <w:rsid w:val="00CD23A9"/>
    <w:rsid w:val="00CD67CA"/>
    <w:rsid w:val="00D03AE8"/>
    <w:rsid w:val="00D127E9"/>
    <w:rsid w:val="00D717F8"/>
    <w:rsid w:val="00D82BFF"/>
    <w:rsid w:val="00D8401A"/>
    <w:rsid w:val="00D86790"/>
    <w:rsid w:val="00D920E2"/>
    <w:rsid w:val="00DB2762"/>
    <w:rsid w:val="00DC4125"/>
    <w:rsid w:val="00DC46E8"/>
    <w:rsid w:val="00DD2915"/>
    <w:rsid w:val="00E040D9"/>
    <w:rsid w:val="00E24590"/>
    <w:rsid w:val="00E3312E"/>
    <w:rsid w:val="00E5179B"/>
    <w:rsid w:val="00E519BF"/>
    <w:rsid w:val="00E703A4"/>
    <w:rsid w:val="00E7471F"/>
    <w:rsid w:val="00E95A65"/>
    <w:rsid w:val="00EB0C5A"/>
    <w:rsid w:val="00EC395C"/>
    <w:rsid w:val="00EF486B"/>
    <w:rsid w:val="00EF72F8"/>
    <w:rsid w:val="00F10B6A"/>
    <w:rsid w:val="00F15B3B"/>
    <w:rsid w:val="00F352BD"/>
    <w:rsid w:val="00F577CD"/>
    <w:rsid w:val="00F62B25"/>
    <w:rsid w:val="00F977EA"/>
    <w:rsid w:val="00FA49F0"/>
    <w:rsid w:val="00FA7617"/>
    <w:rsid w:val="00FB6237"/>
    <w:rsid w:val="00FC1010"/>
    <w:rsid w:val="00FD5EA6"/>
    <w:rsid w:val="00FE454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BDACD"/>
  <w15:docId w15:val="{9BDCC858-2DA4-4861-BE31-6EC659D8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FCE5-E6FE-4FA1-9657-12CF4BED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2021-05-05T11:55:00Z</cp:lastPrinted>
  <dcterms:created xsi:type="dcterms:W3CDTF">2021-05-05T11:56:00Z</dcterms:created>
  <dcterms:modified xsi:type="dcterms:W3CDTF">2021-05-05T11:56:00Z</dcterms:modified>
</cp:coreProperties>
</file>