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97" w:rsidRDefault="0015028E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2C97" w:rsidRDefault="00D62C97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62C97" w:rsidRDefault="0015028E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D62C97" w:rsidRDefault="0015028E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Název bakalářské práce:  </w:t>
      </w: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VARIABILITA /Návrh a realizace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variabilného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nábytku do interiéru/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GAŽIOVÁ Barbora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Design, specializace Design nábytku a interiéru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Lukáš Melichar  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15028E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D62C97" w:rsidRDefault="0015028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 Formálně bylo vytvořeno, co bylo slíbeno. Kvalita výstupu odpovídá obvyklým požadavkům kladeným na</w:t>
      </w:r>
      <w:r>
        <w:rPr>
          <w:rFonts w:ascii="Garamond" w:eastAsia="Garamond" w:hAnsi="Garamond" w:cs="Garamond"/>
          <w:i/>
          <w:sz w:val="24"/>
          <w:szCs w:val="24"/>
        </w:rPr>
        <w:t xml:space="preserve"> kvalifikační práci. </w:t>
      </w:r>
    </w:p>
    <w:p w:rsidR="00D62C97" w:rsidRDefault="0015028E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D62C97" w:rsidRDefault="0015028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Autorka se s výběrem tématu pustila do často řešeného tématu v oblasti designu nábytku. S tímto nelehkým úkolem si dle mého názoru poradila více než dobře. V jejím zpracování zadání oceňuji zejména nadhled</w:t>
      </w:r>
      <w:r>
        <w:rPr>
          <w:rFonts w:ascii="Garamond" w:eastAsia="Garamond" w:hAnsi="Garamond" w:cs="Garamond"/>
          <w:i/>
          <w:sz w:val="24"/>
          <w:szCs w:val="24"/>
        </w:rPr>
        <w:t xml:space="preserve">, se kterým samotný návrh řešila. Zamýšlí se nad psychologickými aspekty společnosti a tyto poznatky reflektuje zejména ve svém přístupu navrhování. Vznikl tak zajímavý solitér, objekt, který může být součástí nejednoho moderního interiéru. Ve svém návrhu </w:t>
      </w:r>
      <w:r>
        <w:rPr>
          <w:rFonts w:ascii="Garamond" w:eastAsia="Garamond" w:hAnsi="Garamond" w:cs="Garamond"/>
          <w:i/>
          <w:sz w:val="24"/>
          <w:szCs w:val="24"/>
        </w:rPr>
        <w:t xml:space="preserve">řeší otázky podstaty sezení, nikoliv sedací soupravy či židle. Tento kritický přístup je dle mého názoru příčinou kvality jejího výstupu. </w:t>
      </w:r>
    </w:p>
    <w:p w:rsidR="00D62C97" w:rsidRDefault="0015028E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Konstrukční řešení samotného křesla je na velmi dobré úrovni. Jak autorka sebekriticky reflektuje, je zde jistě prost</w:t>
      </w:r>
      <w:r>
        <w:rPr>
          <w:rFonts w:ascii="Garamond" w:eastAsia="Garamond" w:hAnsi="Garamond" w:cs="Garamond"/>
          <w:i/>
          <w:sz w:val="24"/>
          <w:szCs w:val="24"/>
        </w:rPr>
        <w:t xml:space="preserve">or pro další možnosti řešení samotné konstrukce. Zejména otázka skládání a transportu samotného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křesla, je dle mého názoru na místě. Dalším momentem k případné diskusi je řešení sevření uživatele při sedu v křesle, kde popruhy uživatele možná až nepříjemně</w:t>
      </w:r>
      <w:r>
        <w:rPr>
          <w:rFonts w:ascii="Garamond" w:eastAsia="Garamond" w:hAnsi="Garamond" w:cs="Garamond"/>
          <w:i/>
          <w:sz w:val="24"/>
          <w:szCs w:val="24"/>
        </w:rPr>
        <w:t xml:space="preserve"> obepínají. To vše by mohlo být předmětem diskuse. Dovoluji si ovšem konstatovat že byl vytvořen produkt, který by byl schopen na současném trhu obstát.  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D62C97" w:rsidRDefault="00150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D62C97" w:rsidRDefault="001502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Zadání neshledávám jako plagiát. </w:t>
      </w: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D62C97" w:rsidRDefault="001502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</w:t>
      </w:r>
      <w:r>
        <w:rPr>
          <w:rFonts w:ascii="Garamond" w:eastAsia="Garamond" w:hAnsi="Garamond" w:cs="Garamond"/>
          <w:i/>
          <w:sz w:val="24"/>
          <w:szCs w:val="24"/>
        </w:rPr>
        <w:t xml:space="preserve">: Výborně 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D62C97" w:rsidRDefault="0015028E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C37E51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1" w:name="_GoBack"/>
      <w:bookmarkEnd w:id="1"/>
      <w:r w:rsidR="00C37E51">
        <w:rPr>
          <w:rFonts w:ascii="Garamond" w:eastAsia="Garamond" w:hAnsi="Garamond" w:cs="Garamond"/>
          <w:b/>
          <w:sz w:val="24"/>
          <w:szCs w:val="24"/>
        </w:rPr>
        <w:t>1. 6. 2021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Lukáš Melichar  </w:t>
      </w: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D62C97" w:rsidRDefault="00D62C97">
      <w:pPr>
        <w:rPr>
          <w:rFonts w:ascii="Garamond" w:eastAsia="Garamond" w:hAnsi="Garamond" w:cs="Garamond"/>
        </w:rPr>
      </w:pPr>
    </w:p>
    <w:sectPr w:rsidR="00D62C9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8E" w:rsidRDefault="0015028E">
      <w:pPr>
        <w:spacing w:after="0" w:line="240" w:lineRule="auto"/>
      </w:pPr>
      <w:r>
        <w:separator/>
      </w:r>
    </w:p>
  </w:endnote>
  <w:endnote w:type="continuationSeparator" w:id="0">
    <w:p w:rsidR="0015028E" w:rsidRDefault="0015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97" w:rsidRDefault="00150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FC2EBE">
      <w:rPr>
        <w:rFonts w:ascii="Arial" w:eastAsia="Arial" w:hAnsi="Arial" w:cs="Arial"/>
        <w:color w:val="000000"/>
      </w:rPr>
      <w:fldChar w:fldCharType="separate"/>
    </w:r>
    <w:r w:rsidR="00C37E51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D62C97" w:rsidRDefault="00D62C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8E" w:rsidRDefault="0015028E">
      <w:pPr>
        <w:spacing w:after="0" w:line="240" w:lineRule="auto"/>
      </w:pPr>
      <w:r>
        <w:separator/>
      </w:r>
    </w:p>
  </w:footnote>
  <w:footnote w:type="continuationSeparator" w:id="0">
    <w:p w:rsidR="0015028E" w:rsidRDefault="0015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5E8"/>
    <w:multiLevelType w:val="multilevel"/>
    <w:tmpl w:val="77F68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7"/>
    <w:rsid w:val="0015028E"/>
    <w:rsid w:val="00C37E51"/>
    <w:rsid w:val="00D62C97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4FAE"/>
  <w15:docId w15:val="{3AE48D49-657E-41DE-90E6-94332EB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g+DNh6v4m3PTG6fx2mtvzJ23g==">AMUW2mWiy8ADK7ecTw/5p4ObRNs5qNw42uROSuY9w7LwLYY7gz9DdfPpgDxWQU1FEiLmnXAdvCyIUE6ue0xjBWMdnwAkX53VkvxHF31pk6sgkT08rQwN65uliFnLfbuw6u0mur6ZdRgS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2021-06-01T14:45:00Z</dcterms:created>
  <dcterms:modified xsi:type="dcterms:W3CDTF">2021-06-01T14:46:00Z</dcterms:modified>
</cp:coreProperties>
</file>