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1C5E06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1C5E06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1C5E06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1C5E06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1C5E06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1C5E06">
      <w:pPr>
        <w:pStyle w:val="Default"/>
        <w:jc w:val="center"/>
      </w:pPr>
    </w:p>
    <w:p w14:paraId="2A424D9D" w14:textId="77777777" w:rsidR="00903BF0" w:rsidRPr="007F5874" w:rsidRDefault="00903BF0" w:rsidP="001C5E06">
      <w:pPr>
        <w:pStyle w:val="Default"/>
        <w:jc w:val="center"/>
      </w:pPr>
    </w:p>
    <w:p w14:paraId="4CA8512F" w14:textId="28E62AAE" w:rsidR="00903BF0" w:rsidRDefault="00903BF0" w:rsidP="001C5E06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CB0010">
        <w:rPr>
          <w:b/>
        </w:rPr>
        <w:t>vedoucí diplomové práce</w:t>
      </w:r>
      <w:r w:rsidRPr="007F5874">
        <w:rPr>
          <w:b/>
        </w:rPr>
        <w:t xml:space="preserve"> k</w:t>
      </w:r>
      <w:r>
        <w:rPr>
          <w:b/>
        </w:rPr>
        <w:t> </w:t>
      </w:r>
      <w:r w:rsidR="00CB0010">
        <w:rPr>
          <w:b/>
        </w:rPr>
        <w:t>diplomové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1C5E06">
      <w:pPr>
        <w:pStyle w:val="Default"/>
        <w:jc w:val="center"/>
        <w:rPr>
          <w:b/>
        </w:rPr>
      </w:pPr>
    </w:p>
    <w:p w14:paraId="4695826F" w14:textId="741400FD" w:rsidR="00903BF0" w:rsidRPr="008E0BC9" w:rsidRDefault="00903BF0" w:rsidP="001C5E06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8D2B62">
        <w:rPr>
          <w:rFonts w:ascii="Garamond" w:hAnsi="Garamond"/>
          <w:b/>
          <w:bCs/>
          <w:sz w:val="28"/>
          <w:szCs w:val="28"/>
        </w:rPr>
        <w:t xml:space="preserve">ŽALOBA </w:t>
      </w:r>
      <w:r w:rsidR="006050E9">
        <w:rPr>
          <w:rFonts w:ascii="Garamond" w:hAnsi="Garamond"/>
          <w:b/>
          <w:bCs/>
          <w:sz w:val="28"/>
          <w:szCs w:val="28"/>
        </w:rPr>
        <w:t>NA</w:t>
      </w:r>
      <w:r w:rsidR="008D2B62">
        <w:rPr>
          <w:rFonts w:ascii="Garamond" w:hAnsi="Garamond"/>
          <w:b/>
          <w:bCs/>
          <w:sz w:val="28"/>
          <w:szCs w:val="28"/>
        </w:rPr>
        <w:t xml:space="preserve"> NEPLATNOST</w:t>
      </w:r>
      <w:r w:rsidR="007379F7">
        <w:rPr>
          <w:rFonts w:ascii="Garamond" w:hAnsi="Garamond"/>
          <w:b/>
          <w:bCs/>
          <w:sz w:val="28"/>
          <w:szCs w:val="28"/>
        </w:rPr>
        <w:t xml:space="preserve"> AKTU EU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1C5E06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1C5E06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1C5E06">
      <w:pPr>
        <w:rPr>
          <w:rFonts w:ascii="Garamond" w:hAnsi="Garamond"/>
        </w:rPr>
      </w:pPr>
    </w:p>
    <w:p w14:paraId="608F0D68" w14:textId="065CE464" w:rsidR="00903BF0" w:rsidRPr="007F5874" w:rsidRDefault="000721E9" w:rsidP="001C5E06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Autor </w:t>
      </w:r>
      <w:r w:rsidR="00CB0010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8D2B62">
        <w:rPr>
          <w:rFonts w:ascii="Garamond" w:hAnsi="Garamond"/>
        </w:rPr>
        <w:t>Lukáš Bucháček</w:t>
      </w:r>
    </w:p>
    <w:p w14:paraId="4CEE6CA8" w14:textId="5D7DD9E3" w:rsidR="00903BF0" w:rsidRDefault="008D2B62" w:rsidP="001C5E06">
      <w:pPr>
        <w:rPr>
          <w:rFonts w:ascii="Garamond" w:hAnsi="Garamond"/>
        </w:rPr>
      </w:pPr>
      <w:r>
        <w:rPr>
          <w:rFonts w:ascii="Garamond" w:hAnsi="Garamond"/>
        </w:rPr>
        <w:t>Vedoucí diplomové práce</w:t>
      </w:r>
      <w:r w:rsidR="00903BF0" w:rsidRPr="007F5874">
        <w:rPr>
          <w:rFonts w:ascii="Garamond" w:hAnsi="Garamond"/>
        </w:rPr>
        <w:t>:</w:t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1C5E06">
      <w:pPr>
        <w:rPr>
          <w:rFonts w:ascii="Garamond" w:hAnsi="Garamond"/>
        </w:rPr>
      </w:pPr>
    </w:p>
    <w:p w14:paraId="71CB500E" w14:textId="77777777" w:rsidR="00903BF0" w:rsidRPr="007F5874" w:rsidRDefault="00903BF0" w:rsidP="001C5E0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18266D" w:rsidRDefault="00903BF0" w:rsidP="001C5E0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6DAE847A" w14:textId="4EFDE370" w:rsidR="00903BF0" w:rsidRDefault="000C08B4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si jako téma své </w:t>
      </w:r>
      <w:r w:rsidR="00855C52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 zvolil „</w:t>
      </w:r>
      <w:r w:rsidR="008D2B62">
        <w:rPr>
          <w:rFonts w:ascii="Garamond" w:hAnsi="Garamond"/>
        </w:rPr>
        <w:t xml:space="preserve">Žaloba </w:t>
      </w:r>
      <w:r w:rsidR="006050E9">
        <w:rPr>
          <w:rFonts w:ascii="Garamond" w:hAnsi="Garamond"/>
        </w:rPr>
        <w:t>na</w:t>
      </w:r>
      <w:r w:rsidR="008D2B62">
        <w:rPr>
          <w:rFonts w:ascii="Garamond" w:hAnsi="Garamond"/>
        </w:rPr>
        <w:t xml:space="preserve"> neplatnost</w:t>
      </w:r>
      <w:r w:rsidR="007379F7">
        <w:rPr>
          <w:rFonts w:ascii="Garamond" w:hAnsi="Garamond"/>
        </w:rPr>
        <w:t xml:space="preserve"> aktu EU</w:t>
      </w:r>
      <w:r w:rsidR="00855C52">
        <w:rPr>
          <w:rFonts w:ascii="Garamond" w:hAnsi="Garamond"/>
        </w:rPr>
        <w:t>“</w:t>
      </w:r>
      <w:r>
        <w:rPr>
          <w:rFonts w:ascii="Garamond" w:hAnsi="Garamond"/>
        </w:rPr>
        <w:t xml:space="preserve">. Zvolené téma považuje </w:t>
      </w:r>
      <w:r w:rsidR="008D2B62">
        <w:rPr>
          <w:rFonts w:ascii="Garamond" w:hAnsi="Garamond"/>
        </w:rPr>
        <w:t>vedoucí diplomové práce</w:t>
      </w:r>
      <w:r>
        <w:rPr>
          <w:rFonts w:ascii="Garamond" w:hAnsi="Garamond"/>
        </w:rPr>
        <w:t xml:space="preserve"> za vhodně zvolené</w:t>
      </w:r>
      <w:r w:rsidR="008D2B62">
        <w:rPr>
          <w:rFonts w:ascii="Garamond" w:hAnsi="Garamond"/>
        </w:rPr>
        <w:t xml:space="preserve">. </w:t>
      </w:r>
      <w:r w:rsidR="00017B1B">
        <w:rPr>
          <w:rFonts w:ascii="Garamond" w:hAnsi="Garamond"/>
        </w:rPr>
        <w:t>Jelikož se jedná o významnou část procesního práva EU, kterým má být mimo jiné dosaženo jednotného výkladu a aplikace práva EU v členských zemích, j</w:t>
      </w:r>
      <w:r w:rsidR="008D2B62">
        <w:rPr>
          <w:rFonts w:ascii="Garamond" w:hAnsi="Garamond"/>
        </w:rPr>
        <w:t xml:space="preserve">edná </w:t>
      </w:r>
      <w:r w:rsidR="00017B1B">
        <w:rPr>
          <w:rFonts w:ascii="Garamond" w:hAnsi="Garamond"/>
        </w:rPr>
        <w:t xml:space="preserve">se </w:t>
      </w:r>
      <w:r w:rsidR="008D2B62">
        <w:rPr>
          <w:rFonts w:ascii="Garamond" w:hAnsi="Garamond"/>
        </w:rPr>
        <w:t xml:space="preserve">o institut velmi důležitý a významný. </w:t>
      </w:r>
      <w:r w:rsidR="00017B1B">
        <w:rPr>
          <w:rFonts w:ascii="Garamond" w:hAnsi="Garamond"/>
        </w:rPr>
        <w:t xml:space="preserve"> Práce má proto převážně procesualistický charakter.</w:t>
      </w:r>
    </w:p>
    <w:p w14:paraId="53E34869" w14:textId="77777777" w:rsidR="00E01BA9" w:rsidRPr="007F5874" w:rsidRDefault="00E01BA9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1C5E0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5E49F7BB" w:rsidR="00903BF0" w:rsidRPr="0018266D" w:rsidRDefault="00903BF0" w:rsidP="001C5E0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Obsah </w:t>
      </w:r>
      <w:r w:rsidR="00CB0010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75DA7765" w14:textId="7B35661A" w:rsidR="00903BF0" w:rsidRDefault="006852F7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</w:t>
      </w:r>
      <w:r w:rsidR="00CB0010">
        <w:rPr>
          <w:rFonts w:ascii="Garamond" w:hAnsi="Garamond"/>
        </w:rPr>
        <w:t>diplomovou</w:t>
      </w:r>
      <w:r w:rsidR="00903BF0">
        <w:rPr>
          <w:rFonts w:ascii="Garamond" w:hAnsi="Garamond"/>
        </w:rPr>
        <w:t xml:space="preserve"> práci člení na úvod, </w:t>
      </w:r>
      <w:r w:rsidR="001B40FC">
        <w:rPr>
          <w:rFonts w:ascii="Garamond" w:hAnsi="Garamond"/>
        </w:rPr>
        <w:t>5</w:t>
      </w:r>
      <w:r w:rsidR="008E0BC9">
        <w:rPr>
          <w:rFonts w:ascii="Garamond" w:hAnsi="Garamond"/>
        </w:rPr>
        <w:t xml:space="preserve"> </w:t>
      </w:r>
      <w:r w:rsidR="00903BF0">
        <w:rPr>
          <w:rFonts w:ascii="Garamond" w:hAnsi="Garamond"/>
        </w:rPr>
        <w:t>kapitol</w:t>
      </w:r>
      <w:r w:rsidR="005E4D4A">
        <w:rPr>
          <w:rFonts w:ascii="Garamond" w:hAnsi="Garamond"/>
        </w:rPr>
        <w:t xml:space="preserve"> </w:t>
      </w:r>
      <w:r w:rsidR="005D2BE7">
        <w:rPr>
          <w:rFonts w:ascii="Garamond" w:hAnsi="Garamond"/>
        </w:rPr>
        <w:t>(</w:t>
      </w:r>
      <w:r w:rsidR="00903BF0">
        <w:rPr>
          <w:rFonts w:ascii="Garamond" w:hAnsi="Garamond"/>
        </w:rPr>
        <w:t>dále členěné na jednotlivé podkapitoly</w:t>
      </w:r>
      <w:r w:rsidR="005D2BE7">
        <w:rPr>
          <w:rFonts w:ascii="Garamond" w:hAnsi="Garamond"/>
        </w:rPr>
        <w:t>)</w:t>
      </w:r>
      <w:r w:rsidR="00903BF0">
        <w:rPr>
          <w:rFonts w:ascii="Garamond" w:hAnsi="Garamond"/>
        </w:rPr>
        <w:t xml:space="preserve"> a závěr. Práce rovněž obsahuje </w:t>
      </w:r>
      <w:r w:rsidR="001B40FC">
        <w:rPr>
          <w:rFonts w:ascii="Garamond" w:hAnsi="Garamond"/>
        </w:rPr>
        <w:t xml:space="preserve">seznam zkratek, </w:t>
      </w:r>
      <w:r w:rsidR="00662655">
        <w:rPr>
          <w:rFonts w:ascii="Garamond" w:hAnsi="Garamond"/>
        </w:rPr>
        <w:t>seznam</w:t>
      </w:r>
      <w:r w:rsidR="00903BF0">
        <w:rPr>
          <w:rFonts w:ascii="Garamond" w:hAnsi="Garamond"/>
        </w:rPr>
        <w:t xml:space="preserve"> použit</w:t>
      </w:r>
      <w:r w:rsidR="00662655">
        <w:rPr>
          <w:rFonts w:ascii="Garamond" w:hAnsi="Garamond"/>
        </w:rPr>
        <w:t>ých zdrojů,</w:t>
      </w:r>
      <w:r w:rsidR="00903BF0">
        <w:rPr>
          <w:rFonts w:ascii="Garamond" w:hAnsi="Garamond"/>
        </w:rPr>
        <w:t xml:space="preserve"> literatury</w:t>
      </w:r>
      <w:r w:rsidR="00662655">
        <w:rPr>
          <w:rFonts w:ascii="Garamond" w:hAnsi="Garamond"/>
        </w:rPr>
        <w:t xml:space="preserve"> a judikatury</w:t>
      </w:r>
      <w:r w:rsidR="00903BF0">
        <w:rPr>
          <w:rFonts w:ascii="Garamond" w:hAnsi="Garamond"/>
        </w:rPr>
        <w:t xml:space="preserve"> a </w:t>
      </w:r>
      <w:r w:rsidR="005D2BE7">
        <w:rPr>
          <w:rFonts w:ascii="Garamond" w:hAnsi="Garamond"/>
        </w:rPr>
        <w:t>cizojazyčné resumé</w:t>
      </w:r>
      <w:r w:rsidR="00903BF0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047D3B">
        <w:rPr>
          <w:rFonts w:ascii="Garamond" w:hAnsi="Garamond"/>
        </w:rPr>
        <w:t>Autor</w:t>
      </w:r>
      <w:r w:rsidR="00297FBB">
        <w:rPr>
          <w:rFonts w:ascii="Garamond" w:hAnsi="Garamond"/>
        </w:rPr>
        <w:t xml:space="preserve"> využívá metodu deskripce</w:t>
      </w:r>
      <w:r w:rsidR="00662655">
        <w:rPr>
          <w:rFonts w:ascii="Garamond" w:hAnsi="Garamond"/>
        </w:rPr>
        <w:t xml:space="preserve"> a komparace</w:t>
      </w:r>
      <w:r w:rsidR="001B40FC">
        <w:rPr>
          <w:rFonts w:ascii="Garamond" w:hAnsi="Garamond"/>
        </w:rPr>
        <w:t>, a zároveň provádí analýzu</w:t>
      </w:r>
      <w:r w:rsidR="00EA7B2A">
        <w:rPr>
          <w:rFonts w:ascii="Garamond" w:hAnsi="Garamond"/>
        </w:rPr>
        <w:t xml:space="preserve"> daného tématu</w:t>
      </w:r>
      <w:r w:rsidR="001B40FC">
        <w:rPr>
          <w:rFonts w:ascii="Garamond" w:hAnsi="Garamond"/>
        </w:rPr>
        <w:t xml:space="preserve">. </w:t>
      </w:r>
    </w:p>
    <w:p w14:paraId="064C1618" w14:textId="77777777" w:rsidR="006852F7" w:rsidRDefault="006852F7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6A553D6" w14:textId="549C26D1" w:rsidR="000F50D1" w:rsidRDefault="00662655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>V úvodu nás autor seznamuje s tématem jeho práce</w:t>
      </w:r>
      <w:r w:rsidR="001B40FC">
        <w:rPr>
          <w:rFonts w:ascii="Garamond" w:hAnsi="Garamond"/>
        </w:rPr>
        <w:t xml:space="preserve">, </w:t>
      </w:r>
      <w:r w:rsidR="001B40FC" w:rsidRPr="001B40FC">
        <w:rPr>
          <w:rFonts w:ascii="Garamond" w:hAnsi="Garamond"/>
        </w:rPr>
        <w:t>stanovuje si zde cíle své práce a stručně uvádí o čem jeho práce bude pojednávat.</w:t>
      </w:r>
      <w:r w:rsidR="00EA7B2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první kapitole se autor věnuje </w:t>
      </w:r>
      <w:r w:rsidR="001B40FC">
        <w:rPr>
          <w:rFonts w:ascii="Garamond" w:hAnsi="Garamond"/>
        </w:rPr>
        <w:t>zařazení</w:t>
      </w:r>
      <w:r w:rsidR="001B40FC" w:rsidRPr="001B40FC">
        <w:rPr>
          <w:rFonts w:ascii="Garamond" w:hAnsi="Garamond"/>
        </w:rPr>
        <w:t xml:space="preserve"> </w:t>
      </w:r>
      <w:r w:rsidR="001B40FC">
        <w:rPr>
          <w:rFonts w:ascii="Garamond" w:hAnsi="Garamond"/>
        </w:rPr>
        <w:t>institutu</w:t>
      </w:r>
      <w:r w:rsidR="001B40FC" w:rsidRPr="001B40FC">
        <w:rPr>
          <w:rFonts w:ascii="Garamond" w:hAnsi="Garamond"/>
        </w:rPr>
        <w:t xml:space="preserve"> žaloby na neplatnost do právního systému</w:t>
      </w:r>
      <w:r w:rsidR="00017B1B">
        <w:rPr>
          <w:rFonts w:ascii="Garamond" w:hAnsi="Garamond"/>
        </w:rPr>
        <w:t xml:space="preserve"> EU</w:t>
      </w:r>
      <w:r w:rsidR="002A7311">
        <w:rPr>
          <w:rFonts w:ascii="Garamond" w:hAnsi="Garamond"/>
        </w:rPr>
        <w:t xml:space="preserve">. </w:t>
      </w:r>
      <w:r w:rsidRPr="00662655">
        <w:rPr>
          <w:rFonts w:ascii="Garamond" w:hAnsi="Garamond"/>
        </w:rPr>
        <w:t xml:space="preserve">Ve druhé kapitole </w:t>
      </w:r>
      <w:r w:rsidR="00CB0010">
        <w:rPr>
          <w:rFonts w:ascii="Garamond" w:hAnsi="Garamond"/>
        </w:rPr>
        <w:t>diplomové</w:t>
      </w:r>
      <w:r w:rsidRPr="00662655">
        <w:rPr>
          <w:rFonts w:ascii="Garamond" w:hAnsi="Garamond"/>
        </w:rPr>
        <w:t xml:space="preserve"> </w:t>
      </w:r>
      <w:r w:rsidR="001B40FC">
        <w:rPr>
          <w:rFonts w:ascii="Garamond" w:hAnsi="Garamond"/>
        </w:rPr>
        <w:t>práce se autor zaměřuje na subjekty řízení. Nejdříve vymezuje</w:t>
      </w:r>
      <w:r w:rsidR="00017B1B">
        <w:rPr>
          <w:rFonts w:ascii="Garamond" w:hAnsi="Garamond"/>
        </w:rPr>
        <w:t>,</w:t>
      </w:r>
      <w:r w:rsidR="001B40FC">
        <w:rPr>
          <w:rFonts w:ascii="Garamond" w:hAnsi="Garamond"/>
        </w:rPr>
        <w:t xml:space="preserve"> jaké subjekty mohou být v roli žalobců a žalovaných, ty dále rozděluje do kategorií, podle rozsahu jejich legitimace.</w:t>
      </w:r>
      <w:r w:rsidR="002A7311">
        <w:rPr>
          <w:rFonts w:ascii="Garamond" w:hAnsi="Garamond"/>
        </w:rPr>
        <w:t xml:space="preserve"> Dále řeší příslušnost soudů pro rozhodování o žalobě </w:t>
      </w:r>
      <w:r w:rsidR="006050E9">
        <w:rPr>
          <w:rFonts w:ascii="Garamond" w:hAnsi="Garamond"/>
        </w:rPr>
        <w:t>na</w:t>
      </w:r>
      <w:r w:rsidR="002A7311">
        <w:rPr>
          <w:rFonts w:ascii="Garamond" w:hAnsi="Garamond"/>
        </w:rPr>
        <w:t xml:space="preserve"> neplatnost. Stručně zmiňuje roli vedlejších účastníků.</w:t>
      </w:r>
      <w:r w:rsidR="007435E0">
        <w:rPr>
          <w:rFonts w:ascii="Garamond" w:hAnsi="Garamond"/>
        </w:rPr>
        <w:t xml:space="preserve"> </w:t>
      </w:r>
      <w:r w:rsidRPr="00662655">
        <w:rPr>
          <w:rFonts w:ascii="Garamond" w:hAnsi="Garamond"/>
        </w:rPr>
        <w:t xml:space="preserve">Třetí kapitola je zaměřena na </w:t>
      </w:r>
      <w:r w:rsidR="002A7311">
        <w:rPr>
          <w:rFonts w:ascii="Garamond" w:hAnsi="Garamond"/>
        </w:rPr>
        <w:t>další podmínky přípustnosti žaloby</w:t>
      </w:r>
      <w:r w:rsidR="00AC7651">
        <w:rPr>
          <w:rFonts w:ascii="Garamond" w:hAnsi="Garamond"/>
        </w:rPr>
        <w:t xml:space="preserve"> na neplatnost</w:t>
      </w:r>
      <w:r w:rsidR="002A7311">
        <w:rPr>
          <w:rFonts w:ascii="Garamond" w:hAnsi="Garamond"/>
        </w:rPr>
        <w:t>. Mezi další podmínky autor řadí formální náležitosti žaloby, podání žaloby</w:t>
      </w:r>
      <w:r w:rsidR="00AC7651">
        <w:rPr>
          <w:rFonts w:ascii="Garamond" w:hAnsi="Garamond"/>
        </w:rPr>
        <w:t xml:space="preserve"> na neplatnost</w:t>
      </w:r>
      <w:r w:rsidR="002A7311">
        <w:rPr>
          <w:rFonts w:ascii="Garamond" w:hAnsi="Garamond"/>
        </w:rPr>
        <w:t xml:space="preserve"> ve lhůtě, existence napadeného aktu a zastoupení advokátem. </w:t>
      </w:r>
      <w:r w:rsidR="00095C42">
        <w:rPr>
          <w:rFonts w:ascii="Garamond" w:hAnsi="Garamond"/>
        </w:rPr>
        <w:t>Dále uvádí</w:t>
      </w:r>
      <w:r w:rsidR="001C5E06">
        <w:rPr>
          <w:rFonts w:ascii="Garamond" w:hAnsi="Garamond"/>
        </w:rPr>
        <w:t xml:space="preserve">, </w:t>
      </w:r>
      <w:r w:rsidR="00095C42">
        <w:rPr>
          <w:rFonts w:ascii="Garamond" w:hAnsi="Garamond"/>
        </w:rPr>
        <w:t>jaké mohou nastat obvyklé procesní překážky v řízení o žalobě</w:t>
      </w:r>
      <w:r w:rsidR="00EA7B2A">
        <w:rPr>
          <w:rFonts w:ascii="Garamond" w:hAnsi="Garamond"/>
        </w:rPr>
        <w:t xml:space="preserve"> na neplatnost</w:t>
      </w:r>
      <w:r w:rsidR="00095C42">
        <w:rPr>
          <w:rFonts w:ascii="Garamond" w:hAnsi="Garamond"/>
        </w:rPr>
        <w:t>. Ohledně lhůty zmiňuje</w:t>
      </w:r>
      <w:r w:rsidR="00EA7B2A">
        <w:rPr>
          <w:rFonts w:ascii="Garamond" w:hAnsi="Garamond"/>
        </w:rPr>
        <w:t xml:space="preserve"> především,</w:t>
      </w:r>
      <w:r w:rsidR="00095C42">
        <w:rPr>
          <w:rFonts w:ascii="Garamond" w:hAnsi="Garamond"/>
        </w:rPr>
        <w:t xml:space="preserve"> kdy lhůta započíná a kdy končí</w:t>
      </w:r>
      <w:r w:rsidR="00EA7B2A">
        <w:rPr>
          <w:rFonts w:ascii="Garamond" w:hAnsi="Garamond"/>
        </w:rPr>
        <w:t>. P</w:t>
      </w:r>
      <w:r w:rsidR="00095C42">
        <w:rPr>
          <w:rFonts w:ascii="Garamond" w:hAnsi="Garamond"/>
        </w:rPr>
        <w:t>oté autor uvádí</w:t>
      </w:r>
      <w:r w:rsidR="001C5E06">
        <w:rPr>
          <w:rFonts w:ascii="Garamond" w:hAnsi="Garamond"/>
        </w:rPr>
        <w:t xml:space="preserve">, </w:t>
      </w:r>
      <w:r w:rsidR="00095C42">
        <w:rPr>
          <w:rFonts w:ascii="Garamond" w:hAnsi="Garamond"/>
        </w:rPr>
        <w:t xml:space="preserve">jaké parametry akt musí </w:t>
      </w:r>
      <w:r w:rsidR="00EA7B2A">
        <w:rPr>
          <w:rFonts w:ascii="Garamond" w:hAnsi="Garamond"/>
        </w:rPr>
        <w:t xml:space="preserve">mít </w:t>
      </w:r>
      <w:r w:rsidR="00095C42">
        <w:rPr>
          <w:rFonts w:ascii="Garamond" w:hAnsi="Garamond"/>
        </w:rPr>
        <w:t xml:space="preserve">z hlediska jeho napadnutelnosti. Mezi tyto parametry se řadí existence aktu a jeho právní závaznost. </w:t>
      </w:r>
      <w:r w:rsidR="007435E0">
        <w:rPr>
          <w:rFonts w:ascii="Garamond" w:hAnsi="Garamond"/>
        </w:rPr>
        <w:t>Další podkapitola se soustředí na žalobní důvody, tj. proti čemu žaloba</w:t>
      </w:r>
      <w:r w:rsidR="00AC7651">
        <w:rPr>
          <w:rFonts w:ascii="Garamond" w:hAnsi="Garamond"/>
        </w:rPr>
        <w:t xml:space="preserve"> na neplatnost</w:t>
      </w:r>
      <w:r w:rsidR="007435E0">
        <w:rPr>
          <w:rFonts w:ascii="Garamond" w:hAnsi="Garamond"/>
        </w:rPr>
        <w:t xml:space="preserve"> směřuje a čeho se žalobce domáhá. Na závěr kapitoly třetí autor zmiňuje vztah žaloby</w:t>
      </w:r>
      <w:r w:rsidR="00AC7651">
        <w:rPr>
          <w:rFonts w:ascii="Garamond" w:hAnsi="Garamond"/>
        </w:rPr>
        <w:t xml:space="preserve"> na neplatnost</w:t>
      </w:r>
      <w:r w:rsidR="007435E0">
        <w:rPr>
          <w:rFonts w:ascii="Garamond" w:hAnsi="Garamond"/>
        </w:rPr>
        <w:t xml:space="preserve"> a dalších vybraných institutů procesního práva. </w:t>
      </w:r>
      <w:r w:rsidR="007435E0" w:rsidRPr="00662655">
        <w:rPr>
          <w:rFonts w:ascii="Garamond" w:hAnsi="Garamond"/>
        </w:rPr>
        <w:t xml:space="preserve">Autor se ve čtvrté kapitole věnuje </w:t>
      </w:r>
      <w:r w:rsidR="007435E0">
        <w:rPr>
          <w:rFonts w:ascii="Garamond" w:hAnsi="Garamond"/>
        </w:rPr>
        <w:t xml:space="preserve">průběhu řízení a vstupu účastníka do řízení. </w:t>
      </w:r>
      <w:r w:rsidR="007435E0" w:rsidRPr="00662655">
        <w:rPr>
          <w:rFonts w:ascii="Garamond" w:hAnsi="Garamond"/>
        </w:rPr>
        <w:t xml:space="preserve">Tato kapitola je rozdělena na dvě části, první </w:t>
      </w:r>
      <w:r w:rsidR="007435E0">
        <w:rPr>
          <w:rFonts w:ascii="Garamond" w:hAnsi="Garamond"/>
        </w:rPr>
        <w:t>se týká ústního řízení a jednání ve věci</w:t>
      </w:r>
      <w:r w:rsidR="007435E0" w:rsidRPr="00662655">
        <w:rPr>
          <w:rFonts w:ascii="Garamond" w:hAnsi="Garamond"/>
        </w:rPr>
        <w:t xml:space="preserve"> a druhá </w:t>
      </w:r>
      <w:r w:rsidR="007435E0">
        <w:rPr>
          <w:rFonts w:ascii="Garamond" w:hAnsi="Garamond"/>
        </w:rPr>
        <w:t xml:space="preserve">poté rozhodnutí ve věci. Pátá kapitola </w:t>
      </w:r>
      <w:r w:rsidR="00017B1B">
        <w:rPr>
          <w:rFonts w:ascii="Garamond" w:hAnsi="Garamond"/>
        </w:rPr>
        <w:t xml:space="preserve">definuje </w:t>
      </w:r>
      <w:r w:rsidR="007435E0">
        <w:rPr>
          <w:rFonts w:ascii="Garamond" w:hAnsi="Garamond"/>
        </w:rPr>
        <w:t>účinky rozhodnutí, přesněji důsledky pro účastníky řízení</w:t>
      </w:r>
      <w:r w:rsidR="007C41CE">
        <w:rPr>
          <w:rFonts w:ascii="Garamond" w:hAnsi="Garamond"/>
        </w:rPr>
        <w:t xml:space="preserve"> a</w:t>
      </w:r>
      <w:r w:rsidR="007435E0">
        <w:rPr>
          <w:rFonts w:ascii="Garamond" w:hAnsi="Garamond"/>
        </w:rPr>
        <w:t xml:space="preserve"> důsledky zrušení aktu pro navazující akt</w:t>
      </w:r>
      <w:r w:rsidR="007C41CE">
        <w:rPr>
          <w:rFonts w:ascii="Garamond" w:hAnsi="Garamond"/>
        </w:rPr>
        <w:t xml:space="preserve">y. </w:t>
      </w:r>
      <w:r>
        <w:rPr>
          <w:rFonts w:ascii="Garamond" w:hAnsi="Garamond"/>
        </w:rPr>
        <w:t>Práce je zakončena závěrem</w:t>
      </w:r>
      <w:r w:rsidR="00EA7B2A">
        <w:rPr>
          <w:rFonts w:ascii="Garamond" w:hAnsi="Garamond"/>
        </w:rPr>
        <w:t>,</w:t>
      </w:r>
      <w:r>
        <w:rPr>
          <w:rFonts w:ascii="Garamond" w:hAnsi="Garamond"/>
        </w:rPr>
        <w:t xml:space="preserve"> ve kterém autor shrnuje celou práci</w:t>
      </w:r>
      <w:r w:rsidR="009A1F83">
        <w:rPr>
          <w:rFonts w:ascii="Garamond" w:hAnsi="Garamond"/>
        </w:rPr>
        <w:t xml:space="preserve"> a odpovídá si na otázky, které vytyčil v úvodu. </w:t>
      </w:r>
    </w:p>
    <w:p w14:paraId="001343E8" w14:textId="77777777" w:rsidR="002F7B23" w:rsidRDefault="002F7B23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3393F48" w14:textId="77777777" w:rsidR="001C5E06" w:rsidRDefault="001C5E06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572E824" w14:textId="77777777" w:rsidR="001C5E06" w:rsidRDefault="001C5E06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870EEF7" w14:textId="77777777" w:rsidR="001C5E06" w:rsidRDefault="001C5E06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EDCCF6F" w14:textId="77777777" w:rsidR="001C5E06" w:rsidRPr="000F50D1" w:rsidRDefault="001C5E06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1C5E0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1CA978A5" w:rsidR="00903BF0" w:rsidRPr="006D57AA" w:rsidRDefault="00903BF0" w:rsidP="001C5E0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Úroveň zpracování </w:t>
      </w:r>
      <w:r w:rsidR="00CB0010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7E052514" w14:textId="635FD42D" w:rsidR="00514BCE" w:rsidRDefault="00CB0010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8266D">
        <w:rPr>
          <w:rFonts w:ascii="Garamond" w:hAnsi="Garamond"/>
        </w:rPr>
        <w:t xml:space="preserve"> </w:t>
      </w:r>
      <w:r w:rsidR="00297FBB">
        <w:rPr>
          <w:rFonts w:ascii="Garamond" w:hAnsi="Garamond"/>
        </w:rPr>
        <w:t>strukturální členění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</w:t>
      </w:r>
      <w:r w:rsidR="009A1F83">
        <w:rPr>
          <w:rFonts w:ascii="Garamond" w:hAnsi="Garamond"/>
        </w:rPr>
        <w:t>.</w:t>
      </w:r>
      <w:r w:rsidR="00B434C0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>R</w:t>
      </w:r>
      <w:r w:rsidR="00297FBB">
        <w:rPr>
          <w:rFonts w:ascii="Garamond" w:hAnsi="Garamond"/>
        </w:rPr>
        <w:t xml:space="preserve">ozsah vlastního textu činí </w:t>
      </w:r>
      <w:r w:rsidR="007C41CE">
        <w:rPr>
          <w:rFonts w:ascii="Garamond" w:hAnsi="Garamond"/>
        </w:rPr>
        <w:t>78</w:t>
      </w:r>
      <w:r w:rsidR="00297FBB">
        <w:rPr>
          <w:rFonts w:ascii="Garamond" w:hAnsi="Garamond"/>
        </w:rPr>
        <w:t xml:space="preserve"> stran</w:t>
      </w:r>
      <w:r w:rsidR="007C41CE">
        <w:rPr>
          <w:rFonts w:ascii="Garamond" w:hAnsi="Garamond"/>
        </w:rPr>
        <w:t xml:space="preserve"> vlastního textu</w:t>
      </w:r>
      <w:r w:rsidR="009A1F83">
        <w:rPr>
          <w:rFonts w:ascii="Garamond" w:hAnsi="Garamond"/>
        </w:rPr>
        <w:t>, což je odpovídající počet stran pro diplomovou práci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 xml:space="preserve">Další parametry týkající se </w:t>
      </w:r>
      <w:r w:rsidR="00EA7B2A">
        <w:rPr>
          <w:rFonts w:ascii="Garamond" w:hAnsi="Garamond"/>
        </w:rPr>
        <w:t xml:space="preserve">úpravy </w:t>
      </w:r>
      <w:r w:rsidR="009A1F83">
        <w:rPr>
          <w:rFonts w:ascii="Garamond" w:hAnsi="Garamond"/>
        </w:rPr>
        <w:t xml:space="preserve">textu jsou splněny. </w:t>
      </w:r>
    </w:p>
    <w:p w14:paraId="5362FB99" w14:textId="253829E4" w:rsidR="0004134D" w:rsidRDefault="00095C42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Vedoucí diplomové práce nemá žádné</w:t>
      </w:r>
      <w:r w:rsidR="0018266D">
        <w:rPr>
          <w:rFonts w:ascii="Garamond" w:hAnsi="Garamond"/>
        </w:rPr>
        <w:t xml:space="preserve"> výhrady k </w:t>
      </w:r>
      <w:r w:rsidR="0018266D" w:rsidRPr="0018266D">
        <w:rPr>
          <w:rFonts w:ascii="Garamond" w:hAnsi="Garamond"/>
        </w:rPr>
        <w:t>úprav</w:t>
      </w:r>
      <w:r w:rsidR="0018266D">
        <w:rPr>
          <w:rFonts w:ascii="Garamond" w:hAnsi="Garamond"/>
        </w:rPr>
        <w:t>ě</w:t>
      </w:r>
      <w:r w:rsidR="0018266D" w:rsidRPr="0018266D">
        <w:rPr>
          <w:rFonts w:ascii="Garamond" w:hAnsi="Garamond"/>
        </w:rPr>
        <w:t xml:space="preserve"> </w:t>
      </w:r>
      <w:r w:rsidR="00855C52">
        <w:rPr>
          <w:rFonts w:ascii="Garamond" w:hAnsi="Garamond"/>
        </w:rPr>
        <w:t>diplomové</w:t>
      </w:r>
      <w:r w:rsidR="0018266D" w:rsidRPr="0018266D">
        <w:rPr>
          <w:rFonts w:ascii="Garamond" w:hAnsi="Garamond"/>
        </w:rPr>
        <w:t xml:space="preserve"> práce, </w:t>
      </w:r>
      <w:r>
        <w:rPr>
          <w:rFonts w:ascii="Garamond" w:hAnsi="Garamond"/>
        </w:rPr>
        <w:t>vše je v souladu</w:t>
      </w:r>
      <w:r w:rsidR="0018266D" w:rsidRPr="0018266D">
        <w:rPr>
          <w:rFonts w:ascii="Garamond" w:hAnsi="Garamond"/>
        </w:rPr>
        <w:t xml:space="preserve"> s vyhláškou děkana ze dne 15.</w:t>
      </w:r>
      <w:r w:rsidR="0018266D">
        <w:rPr>
          <w:rFonts w:ascii="Garamond" w:hAnsi="Garamond"/>
        </w:rPr>
        <w:t> </w:t>
      </w:r>
      <w:r w:rsidR="0018266D" w:rsidRPr="0018266D">
        <w:rPr>
          <w:rFonts w:ascii="Garamond" w:hAnsi="Garamond"/>
        </w:rPr>
        <w:t xml:space="preserve">11. 2021, FPR č. 53D/2021, o státní závěrečné zkoušce – obhajoba diplomové nebo bakalářské práce. </w:t>
      </w:r>
    </w:p>
    <w:p w14:paraId="149F4D94" w14:textId="7171BD05" w:rsidR="00514BCE" w:rsidRDefault="0004134D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Obsahově má </w:t>
      </w:r>
      <w:r w:rsidR="00AC7651">
        <w:rPr>
          <w:rFonts w:ascii="Garamond" w:hAnsi="Garamond"/>
        </w:rPr>
        <w:t>vedoucí diplomové</w:t>
      </w:r>
      <w:r>
        <w:rPr>
          <w:rFonts w:ascii="Garamond" w:hAnsi="Garamond"/>
        </w:rPr>
        <w:t xml:space="preserve"> pouze pár výtek. </w:t>
      </w:r>
      <w:r w:rsidR="00FF7873">
        <w:rPr>
          <w:rFonts w:ascii="Garamond" w:hAnsi="Garamond"/>
        </w:rPr>
        <w:t>Po stylistické a gramatické stránce je diplomová práce v pořádku. Jediné</w:t>
      </w:r>
      <w:r w:rsidR="00017B1B">
        <w:rPr>
          <w:rFonts w:ascii="Garamond" w:hAnsi="Garamond"/>
        </w:rPr>
        <w:t>,</w:t>
      </w:r>
      <w:r w:rsidR="00FF7873">
        <w:rPr>
          <w:rFonts w:ascii="Garamond" w:hAnsi="Garamond"/>
        </w:rPr>
        <w:t xml:space="preserve"> co může působit lehce </w:t>
      </w:r>
      <w:r w:rsidR="006050E9">
        <w:rPr>
          <w:rFonts w:ascii="Garamond" w:hAnsi="Garamond"/>
        </w:rPr>
        <w:t>nesouměrně</w:t>
      </w:r>
      <w:r w:rsidR="00FF7873">
        <w:rPr>
          <w:rFonts w:ascii="Garamond" w:hAnsi="Garamond"/>
        </w:rPr>
        <w:t xml:space="preserve"> je, že autor občas mluví ve své</w:t>
      </w:r>
      <w:r w:rsidR="00EA7B2A">
        <w:rPr>
          <w:rFonts w:ascii="Garamond" w:hAnsi="Garamond"/>
        </w:rPr>
        <w:t xml:space="preserve"> diplomové</w:t>
      </w:r>
      <w:r w:rsidR="00FF7873">
        <w:rPr>
          <w:rFonts w:ascii="Garamond" w:hAnsi="Garamond"/>
        </w:rPr>
        <w:t xml:space="preserve"> práci o žalobě </w:t>
      </w:r>
      <w:r w:rsidR="006050E9">
        <w:rPr>
          <w:rFonts w:ascii="Garamond" w:hAnsi="Garamond"/>
        </w:rPr>
        <w:t>na</w:t>
      </w:r>
      <w:r w:rsidR="00FF7873">
        <w:rPr>
          <w:rFonts w:ascii="Garamond" w:hAnsi="Garamond"/>
        </w:rPr>
        <w:t xml:space="preserve"> neplatnost jako </w:t>
      </w:r>
      <w:r w:rsidR="006050E9">
        <w:rPr>
          <w:rFonts w:ascii="Garamond" w:hAnsi="Garamond"/>
        </w:rPr>
        <w:t>„</w:t>
      </w:r>
      <w:r w:rsidR="00FF7873">
        <w:rPr>
          <w:rFonts w:ascii="Garamond" w:hAnsi="Garamond"/>
        </w:rPr>
        <w:t>žalobě</w:t>
      </w:r>
      <w:r w:rsidR="006050E9">
        <w:rPr>
          <w:rFonts w:ascii="Garamond" w:hAnsi="Garamond"/>
        </w:rPr>
        <w:t>“</w:t>
      </w:r>
      <w:r w:rsidR="00FF7873">
        <w:rPr>
          <w:rFonts w:ascii="Garamond" w:hAnsi="Garamond"/>
        </w:rPr>
        <w:t xml:space="preserve">, jindy jako o </w:t>
      </w:r>
      <w:r w:rsidR="006050E9">
        <w:rPr>
          <w:rFonts w:ascii="Garamond" w:hAnsi="Garamond"/>
        </w:rPr>
        <w:t>„</w:t>
      </w:r>
      <w:r w:rsidR="00FF7873">
        <w:rPr>
          <w:rFonts w:ascii="Garamond" w:hAnsi="Garamond"/>
        </w:rPr>
        <w:t xml:space="preserve">žalobě </w:t>
      </w:r>
      <w:r w:rsidR="006050E9">
        <w:rPr>
          <w:rFonts w:ascii="Garamond" w:hAnsi="Garamond"/>
        </w:rPr>
        <w:t>na</w:t>
      </w:r>
      <w:r w:rsidR="00FF7873">
        <w:rPr>
          <w:rFonts w:ascii="Garamond" w:hAnsi="Garamond"/>
        </w:rPr>
        <w:t xml:space="preserve"> neplatnost</w:t>
      </w:r>
      <w:r w:rsidR="006050E9">
        <w:rPr>
          <w:rFonts w:ascii="Garamond" w:hAnsi="Garamond"/>
        </w:rPr>
        <w:t>“</w:t>
      </w:r>
      <w:r w:rsidR="00017B1B">
        <w:rPr>
          <w:rFonts w:ascii="Garamond" w:hAnsi="Garamond"/>
        </w:rPr>
        <w:t>, resp. neprovedl ve své práci tzv. legislativní zkratku. Nejedná se však o nedostatek zásadní.</w:t>
      </w:r>
    </w:p>
    <w:p w14:paraId="47B513CE" w14:textId="1387F20B" w:rsidR="005968D4" w:rsidRDefault="00017B1B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Nyní tedy k hodnocení. </w:t>
      </w:r>
      <w:r w:rsidR="00275484" w:rsidRPr="00275484">
        <w:rPr>
          <w:rFonts w:ascii="Garamond" w:hAnsi="Garamond"/>
        </w:rPr>
        <w:t xml:space="preserve">První kapitola je obsahově </w:t>
      </w:r>
      <w:r w:rsidR="007C41CE">
        <w:rPr>
          <w:rFonts w:ascii="Garamond" w:hAnsi="Garamond"/>
        </w:rPr>
        <w:t>velmi strohá</w:t>
      </w:r>
      <w:r w:rsidR="00275484" w:rsidRPr="00275484">
        <w:rPr>
          <w:rFonts w:ascii="Garamond" w:hAnsi="Garamond"/>
        </w:rPr>
        <w:t xml:space="preserve">. </w:t>
      </w:r>
      <w:r w:rsidR="007C41CE">
        <w:rPr>
          <w:rFonts w:ascii="Garamond" w:hAnsi="Garamond"/>
        </w:rPr>
        <w:t>Má pouze</w:t>
      </w:r>
      <w:r w:rsidR="00275484" w:rsidRPr="00275484">
        <w:rPr>
          <w:rFonts w:ascii="Garamond" w:hAnsi="Garamond"/>
        </w:rPr>
        <w:t xml:space="preserve"> </w:t>
      </w:r>
      <w:r w:rsidR="007C41CE">
        <w:rPr>
          <w:rFonts w:ascii="Garamond" w:hAnsi="Garamond"/>
        </w:rPr>
        <w:t>2</w:t>
      </w:r>
      <w:r w:rsidR="00275484" w:rsidRPr="00275484">
        <w:rPr>
          <w:rFonts w:ascii="Garamond" w:hAnsi="Garamond"/>
        </w:rPr>
        <w:t xml:space="preserve"> stran</w:t>
      </w:r>
      <w:r w:rsidR="007C41CE">
        <w:rPr>
          <w:rFonts w:ascii="Garamond" w:hAnsi="Garamond"/>
        </w:rPr>
        <w:t>y</w:t>
      </w:r>
      <w:r w:rsidR="00275484" w:rsidRPr="00275484">
        <w:rPr>
          <w:rFonts w:ascii="Garamond" w:hAnsi="Garamond"/>
        </w:rPr>
        <w:t xml:space="preserve">. </w:t>
      </w:r>
      <w:r w:rsidR="007C41CE">
        <w:rPr>
          <w:rFonts w:ascii="Garamond" w:hAnsi="Garamond"/>
        </w:rPr>
        <w:t xml:space="preserve">Autor se zde zaměřuje na vymezení institutu. I přesto, že právní úprava institutu není obsáhlá, autor mohl kapitolu </w:t>
      </w:r>
      <w:r w:rsidR="00EA7B2A">
        <w:rPr>
          <w:rFonts w:ascii="Garamond" w:hAnsi="Garamond"/>
        </w:rPr>
        <w:t>o</w:t>
      </w:r>
      <w:r w:rsidR="007C41CE">
        <w:rPr>
          <w:rFonts w:ascii="Garamond" w:hAnsi="Garamond"/>
        </w:rPr>
        <w:t xml:space="preserve"> vymezení a vysvětlení podstaty tohoto institutu více rozebrat a soustředit se více i na, jak on sám uvádí, jádro samotné </w:t>
      </w:r>
      <w:r w:rsidR="005968D4">
        <w:rPr>
          <w:rFonts w:ascii="Garamond" w:hAnsi="Garamond"/>
        </w:rPr>
        <w:t xml:space="preserve">právní úpravy. </w:t>
      </w:r>
    </w:p>
    <w:p w14:paraId="4C0BAD53" w14:textId="3114FAEC" w:rsidR="00275484" w:rsidRDefault="005968D4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Druhá kapitola se týká aktivní a pasivní legitimace a příslušn</w:t>
      </w:r>
      <w:r w:rsidR="00EA7B2A">
        <w:rPr>
          <w:rFonts w:ascii="Garamond" w:hAnsi="Garamond"/>
        </w:rPr>
        <w:t>osti</w:t>
      </w:r>
      <w:r>
        <w:rPr>
          <w:rFonts w:ascii="Garamond" w:hAnsi="Garamond"/>
        </w:rPr>
        <w:t xml:space="preserve"> soudů. Autor zde správně rozlišuje </w:t>
      </w:r>
      <w:r w:rsidR="008B3BFE">
        <w:rPr>
          <w:rFonts w:ascii="Garamond" w:hAnsi="Garamond"/>
        </w:rPr>
        <w:t>skupiny</w:t>
      </w:r>
      <w:r>
        <w:rPr>
          <w:rFonts w:ascii="Garamond" w:hAnsi="Garamond"/>
        </w:rPr>
        <w:t xml:space="preserve"> žalobců na privilegované, neprivilegované a poloprivilegované</w:t>
      </w:r>
      <w:r w:rsidR="008B3BFE">
        <w:rPr>
          <w:rFonts w:ascii="Garamond" w:hAnsi="Garamond"/>
        </w:rPr>
        <w:t xml:space="preserve"> a dále</w:t>
      </w:r>
      <w:r w:rsidR="00EA7B2A">
        <w:rPr>
          <w:rFonts w:ascii="Garamond" w:hAnsi="Garamond"/>
        </w:rPr>
        <w:t xml:space="preserve"> uvádí</w:t>
      </w:r>
      <w:r w:rsidR="008B3BFE">
        <w:rPr>
          <w:rFonts w:ascii="Garamond" w:hAnsi="Garamond"/>
        </w:rPr>
        <w:t xml:space="preserve"> i kritéria aktivní legitimace. </w:t>
      </w:r>
      <w:r w:rsidR="00E443F2">
        <w:rPr>
          <w:rFonts w:ascii="Garamond" w:hAnsi="Garamond"/>
        </w:rPr>
        <w:t xml:space="preserve">Autor zde zmiňuje nejen dlouhodobě ustálenou judikaturu, ale i recentní judikaturu. Zajímavou podkapitolou je hodnocení přístupů žalobců k žalobě na neplatnost. </w:t>
      </w:r>
      <w:r w:rsidR="00571C49">
        <w:rPr>
          <w:rFonts w:ascii="Garamond" w:hAnsi="Garamond"/>
        </w:rPr>
        <w:t>Z hlediska formálního členění práce by bylo vhodnější, kdyby autor tuto kapitolu rozdělil na dvě kapitoly, tedy první kapitolu pojednávající</w:t>
      </w:r>
      <w:r w:rsidR="00EA7B2A">
        <w:rPr>
          <w:rFonts w:ascii="Garamond" w:hAnsi="Garamond"/>
        </w:rPr>
        <w:t xml:space="preserve"> o</w:t>
      </w:r>
      <w:r w:rsidR="00571C49">
        <w:rPr>
          <w:rFonts w:ascii="Garamond" w:hAnsi="Garamond"/>
        </w:rPr>
        <w:t xml:space="preserve"> subjektech, a druhou kapitolou by pak byla kapitola týkající se </w:t>
      </w:r>
      <w:r w:rsidR="00EA7B2A">
        <w:rPr>
          <w:rFonts w:ascii="Garamond" w:hAnsi="Garamond"/>
        </w:rPr>
        <w:t>p</w:t>
      </w:r>
      <w:r w:rsidR="00571C49">
        <w:rPr>
          <w:rFonts w:ascii="Garamond" w:hAnsi="Garamond"/>
        </w:rPr>
        <w:t>ravomoc</w:t>
      </w:r>
      <w:r w:rsidR="00EA7B2A">
        <w:rPr>
          <w:rFonts w:ascii="Garamond" w:hAnsi="Garamond"/>
        </w:rPr>
        <w:t>í</w:t>
      </w:r>
      <w:r w:rsidR="00571C49">
        <w:rPr>
          <w:rFonts w:ascii="Garamond" w:hAnsi="Garamond"/>
        </w:rPr>
        <w:t xml:space="preserve"> a příslušnost</w:t>
      </w:r>
      <w:r w:rsidR="00EA7B2A">
        <w:rPr>
          <w:rFonts w:ascii="Garamond" w:hAnsi="Garamond"/>
        </w:rPr>
        <w:t>i</w:t>
      </w:r>
      <w:r w:rsidR="00571C49">
        <w:rPr>
          <w:rFonts w:ascii="Garamond" w:hAnsi="Garamond"/>
        </w:rPr>
        <w:t xml:space="preserve"> soud</w:t>
      </w:r>
      <w:r w:rsidR="00EA7B2A">
        <w:rPr>
          <w:rFonts w:ascii="Garamond" w:hAnsi="Garamond"/>
        </w:rPr>
        <w:t>ů</w:t>
      </w:r>
      <w:r w:rsidR="00571C49">
        <w:rPr>
          <w:rFonts w:ascii="Garamond" w:hAnsi="Garamond"/>
        </w:rPr>
        <w:t>, popřípadě by bylo lepší toto téma přiřadit spíše do kapitoly čtvrté, týkající se průběhu řízení. Nejde však o nedostatek zásadní.</w:t>
      </w:r>
    </w:p>
    <w:p w14:paraId="18136AED" w14:textId="54B70A7B" w:rsidR="007435E0" w:rsidRDefault="007435E0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Třetí kapitola je sama o sobě velmi rozsáhlá</w:t>
      </w:r>
      <w:r w:rsidR="00FF7873">
        <w:rPr>
          <w:rFonts w:ascii="Garamond" w:hAnsi="Garamond"/>
        </w:rPr>
        <w:t>, a</w:t>
      </w:r>
      <w:r w:rsidR="00D929C6">
        <w:rPr>
          <w:rFonts w:ascii="Garamond" w:hAnsi="Garamond"/>
        </w:rPr>
        <w:t>však</w:t>
      </w:r>
      <w:r w:rsidR="00FF7873">
        <w:rPr>
          <w:rFonts w:ascii="Garamond" w:hAnsi="Garamond"/>
        </w:rPr>
        <w:t xml:space="preserve"> i lehce chaotická. Na úvod třetí kapitoly se autor </w:t>
      </w:r>
      <w:r w:rsidR="00017B1B">
        <w:rPr>
          <w:rFonts w:ascii="Garamond" w:hAnsi="Garamond"/>
        </w:rPr>
        <w:t xml:space="preserve">věnuje </w:t>
      </w:r>
      <w:r w:rsidR="00FF7873">
        <w:rPr>
          <w:rFonts w:ascii="Garamond" w:hAnsi="Garamond"/>
        </w:rPr>
        <w:t>podmínká</w:t>
      </w:r>
      <w:r w:rsidR="00017B1B">
        <w:rPr>
          <w:rFonts w:ascii="Garamond" w:hAnsi="Garamond"/>
        </w:rPr>
        <w:t>m</w:t>
      </w:r>
      <w:r w:rsidR="00FF7873">
        <w:rPr>
          <w:rFonts w:ascii="Garamond" w:hAnsi="Garamond"/>
        </w:rPr>
        <w:t xml:space="preserve"> přípustnosti žaloby </w:t>
      </w:r>
      <w:r w:rsidR="00AC7651">
        <w:rPr>
          <w:rFonts w:ascii="Garamond" w:hAnsi="Garamond"/>
        </w:rPr>
        <w:t>na neplatnost</w:t>
      </w:r>
      <w:r w:rsidR="00FF7873">
        <w:rPr>
          <w:rFonts w:ascii="Garamond" w:hAnsi="Garamond"/>
        </w:rPr>
        <w:t xml:space="preserve">, tedy splnění formálních náležitostí, podání žaloby v zachované lhůtě, existence napadeného aktu a zastoupení advokátem, ale hned jako druhá podkapitola je autorem zvoleno téma obvyklých procesních překážek, což úplně nezapadá do plynulého děje </w:t>
      </w:r>
      <w:r w:rsidR="00663AA2">
        <w:rPr>
          <w:rFonts w:ascii="Garamond" w:hAnsi="Garamond"/>
        </w:rPr>
        <w:t xml:space="preserve">diplomové </w:t>
      </w:r>
      <w:r w:rsidR="00FF7873">
        <w:rPr>
          <w:rFonts w:ascii="Garamond" w:hAnsi="Garamond"/>
        </w:rPr>
        <w:t xml:space="preserve">práce. </w:t>
      </w:r>
      <w:r w:rsidR="00D929C6">
        <w:rPr>
          <w:rFonts w:ascii="Garamond" w:hAnsi="Garamond"/>
        </w:rPr>
        <w:t>Následně pak</w:t>
      </w:r>
      <w:r w:rsidR="00FF7873">
        <w:rPr>
          <w:rFonts w:ascii="Garamond" w:hAnsi="Garamond"/>
        </w:rPr>
        <w:t xml:space="preserve"> v podkapitole třetí znovu pokračuje v podmínkách přípustnosti žaloby</w:t>
      </w:r>
      <w:r w:rsidR="00AC7651">
        <w:rPr>
          <w:rFonts w:ascii="Garamond" w:hAnsi="Garamond"/>
        </w:rPr>
        <w:t xml:space="preserve"> na neplatnost</w:t>
      </w:r>
      <w:r w:rsidR="00FF7873">
        <w:rPr>
          <w:rFonts w:ascii="Garamond" w:hAnsi="Garamond"/>
        </w:rPr>
        <w:t xml:space="preserve">. </w:t>
      </w:r>
      <w:r w:rsidR="00826CC6">
        <w:rPr>
          <w:rFonts w:ascii="Garamond" w:hAnsi="Garamond"/>
        </w:rPr>
        <w:t>Po podkapitole rozsáhle pojednávající o napadnutelném aktu, násled</w:t>
      </w:r>
      <w:r w:rsidR="00663AA2">
        <w:rPr>
          <w:rFonts w:ascii="Garamond" w:hAnsi="Garamond"/>
        </w:rPr>
        <w:t>uje</w:t>
      </w:r>
      <w:r w:rsidR="00826CC6">
        <w:rPr>
          <w:rFonts w:ascii="Garamond" w:hAnsi="Garamond"/>
        </w:rPr>
        <w:t xml:space="preserve"> podkapitola se žalobními důvody, autor zde správně uvádí, že důvody nejsou vzájemně výlučné, ale dále nerozvíjí téma s </w:t>
      </w:r>
      <w:r w:rsidR="00D929C6">
        <w:rPr>
          <w:rFonts w:ascii="Garamond" w:hAnsi="Garamond"/>
        </w:rPr>
        <w:t>po</w:t>
      </w:r>
      <w:r w:rsidR="00826CC6">
        <w:rPr>
          <w:rFonts w:ascii="Garamond" w:hAnsi="Garamond"/>
        </w:rPr>
        <w:t xml:space="preserve">ukázáním na konkrétních příkladech. </w:t>
      </w:r>
      <w:r w:rsidR="005D7E89">
        <w:rPr>
          <w:rFonts w:ascii="Garamond" w:hAnsi="Garamond"/>
        </w:rPr>
        <w:t>Dále se autor soustředí na jednotlivé typy důvodů a podrobně je popisuje. Nakonec v podkapitole sedmé je uvedeno téma vztah</w:t>
      </w:r>
      <w:r w:rsidR="00663AA2">
        <w:rPr>
          <w:rFonts w:ascii="Garamond" w:hAnsi="Garamond"/>
        </w:rPr>
        <w:t>u</w:t>
      </w:r>
      <w:r w:rsidR="005D7E89">
        <w:rPr>
          <w:rFonts w:ascii="Garamond" w:hAnsi="Garamond"/>
        </w:rPr>
        <w:t xml:space="preserve"> žaloby </w:t>
      </w:r>
      <w:r w:rsidR="00AC7651">
        <w:rPr>
          <w:rFonts w:ascii="Garamond" w:hAnsi="Garamond"/>
        </w:rPr>
        <w:t xml:space="preserve">na neplatnost </w:t>
      </w:r>
      <w:r w:rsidR="005D7E89">
        <w:rPr>
          <w:rFonts w:ascii="Garamond" w:hAnsi="Garamond"/>
        </w:rPr>
        <w:t xml:space="preserve">a vybraných institutů, i přesto, že se autor domnívá, že by mělo být zařazeno do kapitoly třetí, </w:t>
      </w:r>
      <w:r w:rsidR="00663AA2">
        <w:rPr>
          <w:rFonts w:ascii="Garamond" w:hAnsi="Garamond"/>
        </w:rPr>
        <w:t xml:space="preserve">vedoucí diplomové práce zastává názor, </w:t>
      </w:r>
      <w:r w:rsidR="005D7E89">
        <w:rPr>
          <w:rFonts w:ascii="Garamond" w:hAnsi="Garamond"/>
        </w:rPr>
        <w:t xml:space="preserve">že by si toto téma zasloužilo samostatnou kapitolu. </w:t>
      </w:r>
    </w:p>
    <w:p w14:paraId="594B00F4" w14:textId="43F61A7A" w:rsidR="00AC7651" w:rsidRDefault="00275484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275484">
        <w:rPr>
          <w:rFonts w:ascii="Garamond" w:hAnsi="Garamond"/>
        </w:rPr>
        <w:t xml:space="preserve">Autor se </w:t>
      </w:r>
      <w:r>
        <w:rPr>
          <w:rFonts w:ascii="Garamond" w:hAnsi="Garamond"/>
        </w:rPr>
        <w:t xml:space="preserve">ve čtvrté </w:t>
      </w:r>
      <w:r w:rsidRPr="00275484">
        <w:rPr>
          <w:rFonts w:ascii="Garamond" w:hAnsi="Garamond"/>
        </w:rPr>
        <w:t xml:space="preserve">kapitole zaměřil </w:t>
      </w:r>
      <w:r w:rsidR="005D7E89">
        <w:rPr>
          <w:rFonts w:ascii="Garamond" w:hAnsi="Garamond"/>
        </w:rPr>
        <w:t>na průběh řízení, vstupu vedlejšího účastníka do řízení, ústní části řízení a jednání ve věci a rozhodnutí ve věci.</w:t>
      </w:r>
      <w:r w:rsidRPr="00275484">
        <w:rPr>
          <w:rFonts w:ascii="Garamond" w:hAnsi="Garamond"/>
        </w:rPr>
        <w:t xml:space="preserve"> </w:t>
      </w:r>
      <w:r w:rsidR="00033976">
        <w:rPr>
          <w:rFonts w:ascii="Garamond" w:hAnsi="Garamond"/>
        </w:rPr>
        <w:t xml:space="preserve">Oproti objemu předchozích dvou kapitol, je tato kapitola velmi stručná, avšak výstižná. </w:t>
      </w:r>
      <w:r w:rsidR="007D334E">
        <w:rPr>
          <w:rFonts w:ascii="Garamond" w:hAnsi="Garamond"/>
        </w:rPr>
        <w:t xml:space="preserve">Byť </w:t>
      </w:r>
      <w:r w:rsidR="00AC7651">
        <w:rPr>
          <w:rFonts w:ascii="Garamond" w:hAnsi="Garamond"/>
        </w:rPr>
        <w:t xml:space="preserve">autor v této kapitole </w:t>
      </w:r>
      <w:r w:rsidR="00663AA2">
        <w:rPr>
          <w:rFonts w:ascii="Garamond" w:hAnsi="Garamond"/>
        </w:rPr>
        <w:t>souhr</w:t>
      </w:r>
      <w:r w:rsidR="007379F7">
        <w:rPr>
          <w:rFonts w:ascii="Garamond" w:hAnsi="Garamond"/>
        </w:rPr>
        <w:t>n</w:t>
      </w:r>
      <w:r w:rsidR="00663AA2">
        <w:rPr>
          <w:rFonts w:ascii="Garamond" w:hAnsi="Garamond"/>
        </w:rPr>
        <w:t>ně</w:t>
      </w:r>
      <w:r w:rsidR="00AC7651">
        <w:rPr>
          <w:rFonts w:ascii="Garamond" w:hAnsi="Garamond"/>
        </w:rPr>
        <w:t xml:space="preserve"> shrnul průběh řízení, což samozřejmě souvisí s tématem diplomové práce žaloby na neplatnost, tak se k této kapitole v závěru nijak nevyjádřil, ani z ní nevyvodil žádné závěry. </w:t>
      </w:r>
    </w:p>
    <w:p w14:paraId="3BCF3233" w14:textId="74DDE605" w:rsidR="00275484" w:rsidRDefault="00033976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Pátá kapitola pojednává o účincích rozhodnutí. </w:t>
      </w:r>
      <w:r w:rsidR="00275484" w:rsidRPr="00275484">
        <w:rPr>
          <w:rFonts w:ascii="Garamond" w:hAnsi="Garamond"/>
        </w:rPr>
        <w:t xml:space="preserve">Autor </w:t>
      </w:r>
      <w:r w:rsidR="007D334E">
        <w:rPr>
          <w:rFonts w:ascii="Garamond" w:hAnsi="Garamond"/>
        </w:rPr>
        <w:t xml:space="preserve">nejdříve vymezuje obecné účinky, výjimky z vykonatelnosti aktu. Dále pak důsledky zrušení aktu pro účastníky řízení a důsledky zrušení aktu pro navazující akty. </w:t>
      </w:r>
      <w:r w:rsidR="00AC7651">
        <w:rPr>
          <w:rFonts w:ascii="Garamond" w:hAnsi="Garamond"/>
        </w:rPr>
        <w:t>Stejně jako u předchozí kapitoly vedoucí diplomové práce postrádá nějaké závěry a zhodnocení této kapitoly související se stanoveným cíle</w:t>
      </w:r>
      <w:r w:rsidR="00663AA2">
        <w:rPr>
          <w:rFonts w:ascii="Garamond" w:hAnsi="Garamond"/>
        </w:rPr>
        <w:t>m</w:t>
      </w:r>
      <w:r w:rsidR="00AC7651">
        <w:rPr>
          <w:rFonts w:ascii="Garamond" w:hAnsi="Garamond"/>
        </w:rPr>
        <w:t xml:space="preserve"> diplomové práce. </w:t>
      </w:r>
    </w:p>
    <w:p w14:paraId="4C013C5B" w14:textId="7E5F72E0" w:rsidR="008B3BFE" w:rsidRDefault="008B3BFE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Napříč celou diplomovou prací </w:t>
      </w:r>
      <w:r w:rsidR="00766FFA">
        <w:rPr>
          <w:rFonts w:ascii="Garamond" w:hAnsi="Garamond"/>
        </w:rPr>
        <w:t>prokládá</w:t>
      </w:r>
      <w:r>
        <w:rPr>
          <w:rFonts w:ascii="Garamond" w:hAnsi="Garamond"/>
        </w:rPr>
        <w:t xml:space="preserve"> autor </w:t>
      </w:r>
      <w:r w:rsidR="00766FFA">
        <w:rPr>
          <w:rFonts w:ascii="Garamond" w:hAnsi="Garamond"/>
        </w:rPr>
        <w:t xml:space="preserve">teoretické informace správně zvolenou a </w:t>
      </w:r>
      <w:r>
        <w:rPr>
          <w:rFonts w:ascii="Garamond" w:hAnsi="Garamond"/>
        </w:rPr>
        <w:t xml:space="preserve">vhodnou judikaturu. </w:t>
      </w:r>
    </w:p>
    <w:p w14:paraId="2107A173" w14:textId="77777777" w:rsidR="00AC7651" w:rsidRDefault="00AC7651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5AB496E" w14:textId="77777777" w:rsidR="001C5E06" w:rsidRDefault="00855C52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903BF0">
        <w:rPr>
          <w:rFonts w:ascii="Garamond" w:hAnsi="Garamond"/>
        </w:rPr>
        <w:t xml:space="preserve"> práce vykazuje shodu ve výši </w:t>
      </w:r>
      <w:r w:rsidR="005A6157">
        <w:rPr>
          <w:rFonts w:ascii="Garamond" w:hAnsi="Garamond"/>
        </w:rPr>
        <w:t xml:space="preserve">0 </w:t>
      </w:r>
      <w:r w:rsidR="00903BF0">
        <w:rPr>
          <w:rFonts w:ascii="Garamond" w:hAnsi="Garamond"/>
        </w:rPr>
        <w:t>% dle srovnání Theses.</w:t>
      </w:r>
    </w:p>
    <w:p w14:paraId="38890491" w14:textId="77777777" w:rsidR="001C5E06" w:rsidRDefault="001C5E06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82F91CE" w14:textId="2105380F" w:rsidR="00903BF0" w:rsidRPr="001C5E06" w:rsidRDefault="001C5E06" w:rsidP="001C5E0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5E06">
        <w:rPr>
          <w:rFonts w:ascii="Garamond" w:hAnsi="Garamond"/>
          <w:b/>
          <w:bCs/>
        </w:rPr>
        <w:t>IV</w:t>
      </w:r>
      <w:r w:rsidR="00903BF0" w:rsidRPr="001C5E06">
        <w:rPr>
          <w:rFonts w:ascii="Garamond" w:hAnsi="Garamond"/>
          <w:b/>
          <w:bCs/>
        </w:rPr>
        <w:t>.</w:t>
      </w:r>
    </w:p>
    <w:p w14:paraId="00E3F95A" w14:textId="4569AD60" w:rsidR="00903BF0" w:rsidRPr="00047D3B" w:rsidRDefault="00903BF0" w:rsidP="001C5E0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D676F51" w14:textId="53628A91" w:rsidR="00EE0CFC" w:rsidRDefault="00047D3B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tuto </w:t>
      </w:r>
      <w:r w:rsidR="00EE0CFC">
        <w:rPr>
          <w:rFonts w:ascii="Garamond" w:hAnsi="Garamond"/>
        </w:rPr>
        <w:t>diplomovou</w:t>
      </w:r>
      <w:r w:rsidR="00903BF0" w:rsidRPr="00F11A53">
        <w:rPr>
          <w:rFonts w:ascii="Garamond" w:hAnsi="Garamond"/>
        </w:rPr>
        <w:t xml:space="preserve"> práci </w:t>
      </w:r>
      <w:r w:rsidR="00903BF0" w:rsidRPr="00F11A53">
        <w:rPr>
          <w:rFonts w:ascii="Garamond" w:hAnsi="Garamond"/>
          <w:u w:val="single"/>
        </w:rPr>
        <w:t>doporučuji k</w:t>
      </w:r>
      <w:r w:rsidR="00F95C81">
        <w:rPr>
          <w:rFonts w:ascii="Garamond" w:hAnsi="Garamond"/>
          <w:u w:val="single"/>
        </w:rPr>
        <w:t> </w:t>
      </w:r>
      <w:r w:rsidR="00903BF0" w:rsidRPr="00F11A53">
        <w:rPr>
          <w:rFonts w:ascii="Garamond" w:hAnsi="Garamond"/>
          <w:u w:val="single"/>
        </w:rPr>
        <w:t>obhajobě</w:t>
      </w:r>
      <w:r w:rsidR="00F95C81">
        <w:rPr>
          <w:rFonts w:ascii="Garamond" w:hAnsi="Garamond"/>
        </w:rPr>
        <w:t xml:space="preserve">. </w:t>
      </w:r>
    </w:p>
    <w:p w14:paraId="0FACFADE" w14:textId="12CE3737" w:rsidR="001C5E06" w:rsidRDefault="001C5E06" w:rsidP="001C5E0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Navržená klasifikace: </w:t>
      </w:r>
      <w:r w:rsidRPr="007379F7">
        <w:rPr>
          <w:rFonts w:ascii="Garamond" w:hAnsi="Garamond"/>
          <w:u w:val="single"/>
        </w:rPr>
        <w:t>výborně</w:t>
      </w:r>
      <w:r>
        <w:rPr>
          <w:rFonts w:ascii="Garamond" w:hAnsi="Garamond"/>
        </w:rPr>
        <w:t>.</w:t>
      </w:r>
    </w:p>
    <w:p w14:paraId="74ED6F4E" w14:textId="77777777" w:rsidR="00D80FEA" w:rsidRDefault="00D80FEA" w:rsidP="001C5E0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70BBD4C" w14:textId="39C49724" w:rsidR="00D80FEA" w:rsidRPr="00D80FEA" w:rsidRDefault="00D80FEA" w:rsidP="001C5E0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047D3B" w:rsidRDefault="00D80FEA" w:rsidP="001C5E0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Otázky k obhajobě</w:t>
      </w:r>
    </w:p>
    <w:p w14:paraId="3A5516EB" w14:textId="33C6FD68" w:rsidR="00047D3B" w:rsidRDefault="00D80FEA" w:rsidP="001C5E06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 xml:space="preserve">autor </w:t>
      </w:r>
      <w:r w:rsidR="00EE0CFC">
        <w:rPr>
          <w:rFonts w:ascii="Garamond" w:hAnsi="Garamond"/>
        </w:rPr>
        <w:t>diplomové</w:t>
      </w:r>
      <w:r w:rsidR="00047D3B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zodpověděla tyto okruhy otázek</w:t>
      </w:r>
      <w:r>
        <w:rPr>
          <w:rFonts w:ascii="Garamond" w:hAnsi="Garamond"/>
          <w:bCs/>
        </w:rPr>
        <w:t>:</w:t>
      </w:r>
    </w:p>
    <w:p w14:paraId="794DD055" w14:textId="54FA8026" w:rsidR="00B01EC0" w:rsidRDefault="00C75812" w:rsidP="001C5E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Umožnil </w:t>
      </w:r>
      <w:r w:rsidR="001C5E06">
        <w:rPr>
          <w:rFonts w:ascii="Garamond" w:hAnsi="Garamond"/>
          <w:bCs/>
        </w:rPr>
        <w:t>by autor</w:t>
      </w:r>
      <w:r>
        <w:rPr>
          <w:rFonts w:ascii="Garamond" w:hAnsi="Garamond"/>
          <w:bCs/>
        </w:rPr>
        <w:t xml:space="preserve"> možnost podání žaloby na neplatnost i proti doporučením a stanoviskům?</w:t>
      </w:r>
    </w:p>
    <w:p w14:paraId="2D056972" w14:textId="5BDD7D29" w:rsidR="00B01EC0" w:rsidRDefault="00826CC6" w:rsidP="001C5E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Můžete uvést příklad nejednoznačnosti mezi důvody pro podání žaloby na neplatnost</w:t>
      </w:r>
      <w:r w:rsidR="00B01EC0">
        <w:rPr>
          <w:rFonts w:ascii="Garamond" w:hAnsi="Garamond"/>
          <w:bCs/>
        </w:rPr>
        <w:t>?</w:t>
      </w:r>
    </w:p>
    <w:p w14:paraId="24AE745E" w14:textId="0D19F8C3" w:rsidR="00663AA2" w:rsidRDefault="00663AA2" w:rsidP="00D929C6">
      <w:pPr>
        <w:pStyle w:val="Odstavecseseznamem"/>
        <w:autoSpaceDE w:val="0"/>
        <w:autoSpaceDN w:val="0"/>
        <w:adjustRightInd w:val="0"/>
        <w:rPr>
          <w:rFonts w:ascii="Garamond" w:hAnsi="Garamond"/>
          <w:bCs/>
        </w:rPr>
      </w:pPr>
    </w:p>
    <w:p w14:paraId="49F38D08" w14:textId="77777777" w:rsidR="00047D3B" w:rsidRPr="00047D3B" w:rsidRDefault="00047D3B" w:rsidP="001C5E06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64922C52" w:rsidR="00903BF0" w:rsidRPr="00AF37F5" w:rsidRDefault="00903BF0" w:rsidP="001C5E06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1C5E06">
        <w:rPr>
          <w:rFonts w:ascii="Garamond" w:hAnsi="Garamond"/>
        </w:rPr>
        <w:t>1</w:t>
      </w:r>
      <w:r w:rsidR="00047D3B">
        <w:rPr>
          <w:rFonts w:ascii="Garamond" w:hAnsi="Garamond"/>
        </w:rPr>
        <w:t xml:space="preserve">. </w:t>
      </w:r>
      <w:r w:rsidR="001C5E06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1C5E06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1C5E06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45C9EBB6" w:rsidR="00903BF0" w:rsidRPr="00AF37F5" w:rsidRDefault="00AC7651" w:rsidP="001C5E06">
      <w:pPr>
        <w:jc w:val="right"/>
      </w:pPr>
      <w:r>
        <w:rPr>
          <w:rFonts w:ascii="Garamond" w:eastAsiaTheme="minorHAnsi" w:hAnsi="Garamond" w:cstheme="minorBidi"/>
          <w:szCs w:val="22"/>
        </w:rPr>
        <w:t>vedoucí</w:t>
      </w:r>
      <w:r w:rsidR="00903BF0">
        <w:rPr>
          <w:rFonts w:ascii="Garamond" w:eastAsiaTheme="minorHAnsi" w:hAnsi="Garamond" w:cstheme="minorBidi"/>
          <w:szCs w:val="22"/>
        </w:rPr>
        <w:t xml:space="preserve"> </w:t>
      </w:r>
      <w:r w:rsidR="00855C52">
        <w:rPr>
          <w:rFonts w:ascii="Garamond" w:eastAsiaTheme="minorHAnsi" w:hAnsi="Garamond" w:cstheme="minorBidi"/>
          <w:szCs w:val="22"/>
        </w:rPr>
        <w:t>diplomové</w:t>
      </w:r>
      <w:r w:rsidR="00903BF0">
        <w:rPr>
          <w:rFonts w:ascii="Garamond" w:eastAsiaTheme="minorHAnsi" w:hAnsi="Garamond" w:cstheme="minorBidi"/>
          <w:szCs w:val="22"/>
        </w:rPr>
        <w:t xml:space="preserve"> práce</w:t>
      </w:r>
    </w:p>
    <w:p w14:paraId="56870975" w14:textId="77777777" w:rsidR="00DB34E5" w:rsidRPr="00903BF0" w:rsidRDefault="00DB34E5">
      <w:pPr>
        <w:rPr>
          <w:u w:val="single"/>
        </w:rPr>
      </w:pPr>
    </w:p>
    <w:sectPr w:rsidR="00DB34E5" w:rsidRPr="00903BF0" w:rsidSect="00E535F7">
      <w:footerReference w:type="default" r:id="rId7"/>
      <w:pgSz w:w="11906" w:h="16838"/>
      <w:pgMar w:top="1134" w:right="1134" w:bottom="1134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118F" w14:textId="77777777" w:rsidR="003154EC" w:rsidRDefault="003154EC">
      <w:r>
        <w:separator/>
      </w:r>
    </w:p>
  </w:endnote>
  <w:endnote w:type="continuationSeparator" w:id="0">
    <w:p w14:paraId="1F9D8CD9" w14:textId="77777777" w:rsidR="003154EC" w:rsidRDefault="003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56CD7FA8" w:rsidR="00405965" w:rsidRPr="00EA7B2A" w:rsidRDefault="005A6157">
    <w:pPr>
      <w:pStyle w:val="Zpat"/>
      <w:jc w:val="right"/>
      <w:rPr>
        <w:rFonts w:ascii="Garamond" w:hAnsi="Garamond"/>
      </w:rPr>
    </w:pPr>
    <w:r w:rsidRPr="00EA7B2A">
      <w:rPr>
        <w:rFonts w:ascii="Garamond" w:hAnsi="Garamond"/>
        <w:noProof/>
      </w:rPr>
      <w:fldChar w:fldCharType="begin"/>
    </w:r>
    <w:r w:rsidRPr="00EA7B2A">
      <w:rPr>
        <w:rFonts w:ascii="Garamond" w:hAnsi="Garamond"/>
        <w:noProof/>
      </w:rPr>
      <w:instrText>PAGE   \* MERGEFORMAT</w:instrText>
    </w:r>
    <w:r w:rsidRPr="00EA7B2A">
      <w:rPr>
        <w:rFonts w:ascii="Garamond" w:hAnsi="Garamond"/>
        <w:noProof/>
      </w:rPr>
      <w:fldChar w:fldCharType="separate"/>
    </w:r>
    <w:r w:rsidR="00B468D5">
      <w:rPr>
        <w:rFonts w:ascii="Garamond" w:hAnsi="Garamond"/>
        <w:noProof/>
      </w:rPr>
      <w:t>3</w:t>
    </w:r>
    <w:r w:rsidRPr="00EA7B2A">
      <w:rPr>
        <w:rFonts w:ascii="Garamond" w:hAnsi="Garamond"/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6E89" w14:textId="77777777" w:rsidR="003154EC" w:rsidRDefault="003154EC">
      <w:r>
        <w:separator/>
      </w:r>
    </w:p>
  </w:footnote>
  <w:footnote w:type="continuationSeparator" w:id="0">
    <w:p w14:paraId="000E606F" w14:textId="77777777" w:rsidR="003154EC" w:rsidRDefault="0031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17B1B"/>
    <w:rsid w:val="0002179A"/>
    <w:rsid w:val="00033976"/>
    <w:rsid w:val="0004134D"/>
    <w:rsid w:val="00047955"/>
    <w:rsid w:val="00047D3B"/>
    <w:rsid w:val="000721E9"/>
    <w:rsid w:val="0007372B"/>
    <w:rsid w:val="0008375D"/>
    <w:rsid w:val="00095C42"/>
    <w:rsid w:val="000C08B4"/>
    <w:rsid w:val="000F50D1"/>
    <w:rsid w:val="00147657"/>
    <w:rsid w:val="0018266D"/>
    <w:rsid w:val="001B40FC"/>
    <w:rsid w:val="001C5E06"/>
    <w:rsid w:val="001F3527"/>
    <w:rsid w:val="002151EE"/>
    <w:rsid w:val="00275484"/>
    <w:rsid w:val="00291501"/>
    <w:rsid w:val="00297FBB"/>
    <w:rsid w:val="002A7311"/>
    <w:rsid w:val="002B23D4"/>
    <w:rsid w:val="002B7978"/>
    <w:rsid w:val="002F7B23"/>
    <w:rsid w:val="00310E9A"/>
    <w:rsid w:val="003154EC"/>
    <w:rsid w:val="003642DD"/>
    <w:rsid w:val="00364E76"/>
    <w:rsid w:val="00373178"/>
    <w:rsid w:val="00387585"/>
    <w:rsid w:val="003946C5"/>
    <w:rsid w:val="003E7C53"/>
    <w:rsid w:val="00404717"/>
    <w:rsid w:val="00405965"/>
    <w:rsid w:val="004A60FC"/>
    <w:rsid w:val="004D5838"/>
    <w:rsid w:val="00504D5B"/>
    <w:rsid w:val="00514BCE"/>
    <w:rsid w:val="00522CFA"/>
    <w:rsid w:val="00523E70"/>
    <w:rsid w:val="00535E6B"/>
    <w:rsid w:val="00571369"/>
    <w:rsid w:val="00571C49"/>
    <w:rsid w:val="005865A5"/>
    <w:rsid w:val="005968D4"/>
    <w:rsid w:val="005A6157"/>
    <w:rsid w:val="005D0B53"/>
    <w:rsid w:val="005D2BE7"/>
    <w:rsid w:val="005D5A2F"/>
    <w:rsid w:val="005D7E89"/>
    <w:rsid w:val="005E4D4A"/>
    <w:rsid w:val="005E4DA2"/>
    <w:rsid w:val="006050E9"/>
    <w:rsid w:val="00617F06"/>
    <w:rsid w:val="0063189F"/>
    <w:rsid w:val="00662655"/>
    <w:rsid w:val="00663AA2"/>
    <w:rsid w:val="006852F7"/>
    <w:rsid w:val="006D57AA"/>
    <w:rsid w:val="006F4050"/>
    <w:rsid w:val="00723E0E"/>
    <w:rsid w:val="00730FC7"/>
    <w:rsid w:val="0073238B"/>
    <w:rsid w:val="007379F7"/>
    <w:rsid w:val="007435E0"/>
    <w:rsid w:val="0074772D"/>
    <w:rsid w:val="007660D1"/>
    <w:rsid w:val="00766FFA"/>
    <w:rsid w:val="007749B3"/>
    <w:rsid w:val="007C41CE"/>
    <w:rsid w:val="007D15D5"/>
    <w:rsid w:val="007D334E"/>
    <w:rsid w:val="007E6F1D"/>
    <w:rsid w:val="00825209"/>
    <w:rsid w:val="00826CC6"/>
    <w:rsid w:val="00850CD3"/>
    <w:rsid w:val="00855C52"/>
    <w:rsid w:val="0087213A"/>
    <w:rsid w:val="008B3BFE"/>
    <w:rsid w:val="008D2B62"/>
    <w:rsid w:val="008D2B88"/>
    <w:rsid w:val="008E0BC9"/>
    <w:rsid w:val="00903BF0"/>
    <w:rsid w:val="00911430"/>
    <w:rsid w:val="00940560"/>
    <w:rsid w:val="00942930"/>
    <w:rsid w:val="009623EE"/>
    <w:rsid w:val="009A1F83"/>
    <w:rsid w:val="009C79C9"/>
    <w:rsid w:val="009D3C37"/>
    <w:rsid w:val="009E1D1E"/>
    <w:rsid w:val="009F6810"/>
    <w:rsid w:val="00A53721"/>
    <w:rsid w:val="00A55C39"/>
    <w:rsid w:val="00A748ED"/>
    <w:rsid w:val="00A86AAB"/>
    <w:rsid w:val="00AC0FFC"/>
    <w:rsid w:val="00AC6AE5"/>
    <w:rsid w:val="00AC7651"/>
    <w:rsid w:val="00AD5A98"/>
    <w:rsid w:val="00B01EC0"/>
    <w:rsid w:val="00B434C0"/>
    <w:rsid w:val="00B468D5"/>
    <w:rsid w:val="00B82AFD"/>
    <w:rsid w:val="00BB4091"/>
    <w:rsid w:val="00BD1A96"/>
    <w:rsid w:val="00BF6F0C"/>
    <w:rsid w:val="00C75812"/>
    <w:rsid w:val="00CB0010"/>
    <w:rsid w:val="00CC65E5"/>
    <w:rsid w:val="00D629C4"/>
    <w:rsid w:val="00D80FEA"/>
    <w:rsid w:val="00D929C6"/>
    <w:rsid w:val="00DB34E5"/>
    <w:rsid w:val="00DD6DEF"/>
    <w:rsid w:val="00E01BA9"/>
    <w:rsid w:val="00E25BB1"/>
    <w:rsid w:val="00E443F2"/>
    <w:rsid w:val="00E535F7"/>
    <w:rsid w:val="00E609A5"/>
    <w:rsid w:val="00E72C56"/>
    <w:rsid w:val="00E86C5B"/>
    <w:rsid w:val="00EA7B2A"/>
    <w:rsid w:val="00EE0CFC"/>
    <w:rsid w:val="00EE4823"/>
    <w:rsid w:val="00F015AF"/>
    <w:rsid w:val="00F066FC"/>
    <w:rsid w:val="00F11A53"/>
    <w:rsid w:val="00F17924"/>
    <w:rsid w:val="00F60687"/>
    <w:rsid w:val="00F63B1C"/>
    <w:rsid w:val="00F655DA"/>
    <w:rsid w:val="00F95C81"/>
    <w:rsid w:val="00FD7B30"/>
    <w:rsid w:val="00FE393E"/>
    <w:rsid w:val="00FF3629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A7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7B2A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2023-10-09T09:11:00Z</cp:lastPrinted>
  <dcterms:created xsi:type="dcterms:W3CDTF">2024-05-07T10:06:00Z</dcterms:created>
  <dcterms:modified xsi:type="dcterms:W3CDTF">2024-05-07T10:06:00Z</dcterms:modified>
</cp:coreProperties>
</file>