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CE6C09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26741A" w:rsidRPr="0026741A" w:rsidRDefault="009D7A03" w:rsidP="0026741A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26741A" w:rsidRPr="0026741A">
        <w:rPr>
          <w:rFonts w:ascii="Times New Roman" w:hAnsi="Times New Roman"/>
          <w:b/>
          <w:bCs/>
        </w:rPr>
        <w:t>Ochrana majetku ve světle judikatury Ústavního soudu</w:t>
      </w:r>
    </w:p>
    <w:p w:rsidR="009D7A03" w:rsidRDefault="0026741A" w:rsidP="0026741A">
      <w:pPr>
        <w:jc w:val="center"/>
        <w:rPr>
          <w:rFonts w:ascii="Times New Roman" w:hAnsi="Times New Roman"/>
          <w:b/>
          <w:bCs/>
        </w:rPr>
      </w:pPr>
      <w:r w:rsidRPr="0026741A">
        <w:rPr>
          <w:rFonts w:ascii="Times New Roman" w:hAnsi="Times New Roman"/>
          <w:b/>
          <w:bCs/>
        </w:rPr>
        <w:t>ČR a Evropského soudu pro lidská práv</w:t>
      </w:r>
      <w:r>
        <w:rPr>
          <w:rFonts w:ascii="Times New Roman" w:hAnsi="Times New Roman"/>
          <w:b/>
          <w:bCs/>
        </w:rPr>
        <w:t>a</w:t>
      </w:r>
      <w:r w:rsidR="009D7A03"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>Diplomant</w:t>
      </w:r>
      <w:r w:rsidR="00E01F45">
        <w:rPr>
          <w:rFonts w:ascii="Times New Roman" w:hAnsi="Times New Roman"/>
        </w:rPr>
        <w:t>ka</w:t>
      </w:r>
      <w:r w:rsidRPr="00F512FA">
        <w:rPr>
          <w:rFonts w:ascii="Times New Roman" w:hAnsi="Times New Roman"/>
        </w:rPr>
        <w:t xml:space="preserve">: </w:t>
      </w:r>
      <w:r w:rsidRPr="00F512FA">
        <w:rPr>
          <w:rFonts w:ascii="Times New Roman" w:hAnsi="Times New Roman"/>
        </w:rPr>
        <w:tab/>
      </w:r>
      <w:r w:rsidR="0026741A">
        <w:rPr>
          <w:rFonts w:ascii="Times New Roman" w:hAnsi="Times New Roman"/>
        </w:rPr>
        <w:t xml:space="preserve">Andrea Slavíková </w:t>
      </w:r>
    </w:p>
    <w:p w:rsidR="00F279BD" w:rsidRDefault="00660CDC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  <w:r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8307B5" w:rsidRDefault="008307B5" w:rsidP="00B71DCC">
      <w:pPr>
        <w:spacing w:line="360" w:lineRule="auto"/>
        <w:jc w:val="both"/>
        <w:rPr>
          <w:rFonts w:ascii="Times New Roman" w:hAnsi="Times New Roman"/>
          <w:bCs/>
        </w:rPr>
      </w:pPr>
      <w:r w:rsidRPr="00970F53">
        <w:rPr>
          <w:rFonts w:ascii="Times New Roman" w:hAnsi="Times New Roman"/>
        </w:rPr>
        <w:t>Diplomant</w:t>
      </w:r>
      <w:r w:rsidR="00B71DCC">
        <w:rPr>
          <w:rFonts w:ascii="Times New Roman" w:hAnsi="Times New Roman"/>
        </w:rPr>
        <w:t xml:space="preserve">ka </w:t>
      </w:r>
      <w:r w:rsidRPr="00970F53">
        <w:rPr>
          <w:rFonts w:ascii="Times New Roman" w:hAnsi="Times New Roman"/>
        </w:rPr>
        <w:t>zvolil</w:t>
      </w:r>
      <w:r w:rsidR="00B71DCC">
        <w:rPr>
          <w:rFonts w:ascii="Times New Roman" w:hAnsi="Times New Roman"/>
        </w:rPr>
        <w:t>a</w:t>
      </w:r>
      <w:r w:rsidRPr="00970F53">
        <w:rPr>
          <w:rFonts w:ascii="Times New Roman" w:hAnsi="Times New Roman"/>
        </w:rPr>
        <w:t xml:space="preserve"> pro svou práci </w:t>
      </w:r>
      <w:r w:rsidRPr="00B71DCC">
        <w:rPr>
          <w:rFonts w:ascii="Times New Roman" w:hAnsi="Times New Roman"/>
        </w:rPr>
        <w:t>téma „</w:t>
      </w:r>
      <w:r w:rsidR="00B71DCC" w:rsidRPr="00B71DCC">
        <w:rPr>
          <w:rFonts w:ascii="Times New Roman" w:hAnsi="Times New Roman"/>
          <w:bCs/>
        </w:rPr>
        <w:t>Ochrana majetku ve světle judikatury Ústavního soudu</w:t>
      </w:r>
      <w:r w:rsidR="00420D96">
        <w:rPr>
          <w:rFonts w:ascii="Times New Roman" w:hAnsi="Times New Roman"/>
          <w:bCs/>
        </w:rPr>
        <w:t xml:space="preserve"> </w:t>
      </w:r>
      <w:r w:rsidR="00B71DCC" w:rsidRPr="00B71DCC">
        <w:rPr>
          <w:rFonts w:ascii="Times New Roman" w:hAnsi="Times New Roman"/>
          <w:bCs/>
        </w:rPr>
        <w:t>ČR a Evropského soudu pro lidská práva</w:t>
      </w:r>
      <w:r w:rsidRPr="00B71DCC">
        <w:rPr>
          <w:rFonts w:ascii="Times New Roman" w:hAnsi="Times New Roman"/>
          <w:bCs/>
        </w:rPr>
        <w:t>“.</w:t>
      </w:r>
      <w:r w:rsidRPr="00970F53">
        <w:rPr>
          <w:rFonts w:ascii="Times New Roman" w:hAnsi="Times New Roman"/>
          <w:bCs/>
        </w:rPr>
        <w:t xml:space="preserve"> Toto téma lze považovat za vhodné pro zpracování</w:t>
      </w:r>
      <w:r w:rsidR="00557C5C">
        <w:rPr>
          <w:rFonts w:ascii="Times New Roman" w:hAnsi="Times New Roman"/>
          <w:bCs/>
        </w:rPr>
        <w:t xml:space="preserve">, autorka však musí dbát toho, že se jedná o diplomovou práci na úrovni ústavního práva, nikoliv občanského. </w:t>
      </w:r>
    </w:p>
    <w:p w:rsidR="001A7750" w:rsidRPr="00F512FA" w:rsidRDefault="001A7750" w:rsidP="002934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B26828" w:rsidRDefault="009F41FD" w:rsidP="00B97E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Předložená prác</w:t>
      </w:r>
      <w:r w:rsidR="00B71DCC">
        <w:rPr>
          <w:rFonts w:ascii="Times New Roman" w:hAnsi="Times New Roman"/>
        </w:rPr>
        <w:t xml:space="preserve">e je členěna na úvod, dále na 4 </w:t>
      </w:r>
      <w:r>
        <w:rPr>
          <w:rFonts w:ascii="Times New Roman" w:hAnsi="Times New Roman"/>
        </w:rPr>
        <w:t xml:space="preserve">kapitoly, které jsou dále členěny na podkapitoly, závěr a resumé. </w:t>
      </w:r>
      <w:r w:rsidR="00B71DCC">
        <w:rPr>
          <w:rFonts w:ascii="Times New Roman" w:hAnsi="Times New Roman"/>
        </w:rPr>
        <w:t xml:space="preserve">Podle </w:t>
      </w:r>
      <w:r w:rsidR="00420D96">
        <w:rPr>
          <w:rFonts w:ascii="Times New Roman" w:hAnsi="Times New Roman"/>
        </w:rPr>
        <w:t xml:space="preserve">vyhlášky </w:t>
      </w:r>
      <w:r w:rsidR="00B71DCC">
        <w:rPr>
          <w:rFonts w:ascii="Times New Roman" w:hAnsi="Times New Roman"/>
          <w:bCs/>
        </w:rPr>
        <w:t>děkana FPR č. 53D/2021</w:t>
      </w:r>
      <w:r w:rsidR="00B71DCC" w:rsidRPr="00E00CA6">
        <w:rPr>
          <w:rFonts w:ascii="Times New Roman" w:hAnsi="Times New Roman"/>
          <w:bCs/>
        </w:rPr>
        <w:t xml:space="preserve">, </w:t>
      </w:r>
      <w:r w:rsidR="00B71DCC" w:rsidRPr="00E00CA6">
        <w:rPr>
          <w:rFonts w:ascii="Times New Roman" w:hAnsi="Times New Roman"/>
        </w:rPr>
        <w:t>o státní závěrečné zkoušce</w:t>
      </w:r>
      <w:r w:rsidR="00420D96">
        <w:rPr>
          <w:rFonts w:ascii="Times New Roman" w:hAnsi="Times New Roman"/>
        </w:rPr>
        <w:t xml:space="preserve"> </w:t>
      </w:r>
      <w:r w:rsidR="00B71DCC" w:rsidRPr="00E00CA6">
        <w:rPr>
          <w:rFonts w:ascii="Times New Roman" w:hAnsi="Times New Roman"/>
        </w:rPr>
        <w:t>–</w:t>
      </w:r>
      <w:r w:rsidR="00420D96">
        <w:rPr>
          <w:rFonts w:ascii="Times New Roman" w:hAnsi="Times New Roman"/>
        </w:rPr>
        <w:t xml:space="preserve"> </w:t>
      </w:r>
      <w:r w:rsidR="00B71DCC" w:rsidRPr="00E00CA6">
        <w:rPr>
          <w:rFonts w:ascii="Times New Roman" w:hAnsi="Times New Roman"/>
        </w:rPr>
        <w:t>obhajoba diplomové nebo bakalářské práce</w:t>
      </w:r>
      <w:r w:rsidR="00420D96">
        <w:rPr>
          <w:rFonts w:ascii="Times New Roman" w:hAnsi="Times New Roman"/>
        </w:rPr>
        <w:t>,</w:t>
      </w:r>
      <w:r w:rsidR="00B71DCC">
        <w:rPr>
          <w:rFonts w:ascii="Times New Roman" w:hAnsi="Times New Roman"/>
        </w:rPr>
        <w:t xml:space="preserve"> se číslují pouze kapitoly, nikoliv úvod, závěr apod. Členění práce je přiléhavé a logické ve vztahu ke zvolenému tématu</w:t>
      </w:r>
      <w:r w:rsidR="00E01F45">
        <w:rPr>
          <w:rFonts w:ascii="Times New Roman" w:hAnsi="Times New Roman"/>
        </w:rPr>
        <w:t>.</w:t>
      </w:r>
    </w:p>
    <w:p w:rsidR="005655FF" w:rsidRDefault="00251DC6" w:rsidP="00B97E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se týká obsahu práce, </w:t>
      </w:r>
      <w:r w:rsidR="00B71DCC">
        <w:rPr>
          <w:rFonts w:ascii="Times New Roman" w:hAnsi="Times New Roman"/>
        </w:rPr>
        <w:t xml:space="preserve">na str. 2 diplomantka samostatně uvádí znění zákona, toto v této práci má </w:t>
      </w:r>
      <w:r>
        <w:rPr>
          <w:rFonts w:ascii="Times New Roman" w:hAnsi="Times New Roman"/>
        </w:rPr>
        <w:t>být řazeno buď v poznámce pod čá</w:t>
      </w:r>
      <w:r w:rsidR="00B71DCC">
        <w:rPr>
          <w:rFonts w:ascii="Times New Roman" w:hAnsi="Times New Roman"/>
        </w:rPr>
        <w:t>rou</w:t>
      </w:r>
      <w:r>
        <w:rPr>
          <w:rFonts w:ascii="Times New Roman" w:hAnsi="Times New Roman"/>
        </w:rPr>
        <w:t>,</w:t>
      </w:r>
      <w:r w:rsidR="00B71DCC">
        <w:rPr>
          <w:rFonts w:ascii="Times New Roman" w:hAnsi="Times New Roman"/>
        </w:rPr>
        <w:t xml:space="preserve"> nebo zakomponováno do textu, v provedení učiněném diplomantkou toto působí učebnicový</w:t>
      </w:r>
      <w:r w:rsidR="00420D96">
        <w:rPr>
          <w:rFonts w:ascii="Times New Roman" w:hAnsi="Times New Roman"/>
        </w:rPr>
        <w:t>m dojmem</w:t>
      </w:r>
      <w:r w:rsidR="00775365">
        <w:rPr>
          <w:rFonts w:ascii="Times New Roman" w:hAnsi="Times New Roman"/>
        </w:rPr>
        <w:t>.</w:t>
      </w:r>
      <w:r w:rsidR="005655FF">
        <w:rPr>
          <w:rFonts w:ascii="Times New Roman" w:hAnsi="Times New Roman"/>
        </w:rPr>
        <w:t xml:space="preserve"> Taktéž na str. 7-8, 10 aj.</w:t>
      </w:r>
    </w:p>
    <w:p w:rsidR="00245381" w:rsidRDefault="00251DC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Dále n</w:t>
      </w:r>
      <w:r w:rsidR="00245381">
        <w:rPr>
          <w:rFonts w:ascii="Times New Roman" w:hAnsi="Times New Roman"/>
        </w:rPr>
        <w:t>epovažuji za vhodné začínat větu § (viz str. 3)</w:t>
      </w:r>
      <w:r w:rsidR="00E01F45">
        <w:rPr>
          <w:rFonts w:ascii="Times New Roman" w:hAnsi="Times New Roman"/>
        </w:rPr>
        <w:t>.</w:t>
      </w:r>
    </w:p>
    <w:p w:rsidR="00557C5C" w:rsidRPr="00251DC6" w:rsidRDefault="00251DC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</w:t>
      </w:r>
      <w:r w:rsidR="00557C5C" w:rsidRPr="00557C5C">
        <w:rPr>
          <w:rFonts w:ascii="Times New Roman" w:hAnsi="Times New Roman"/>
        </w:rPr>
        <w:t xml:space="preserve">a str. 4 </w:t>
      </w:r>
      <w:r>
        <w:rPr>
          <w:rFonts w:ascii="Times New Roman" w:hAnsi="Times New Roman"/>
        </w:rPr>
        <w:t>diplomantka uvádí:</w:t>
      </w:r>
      <w:r w:rsidR="00557C5C" w:rsidRPr="00557C5C">
        <w:rPr>
          <w:rFonts w:ascii="Times New Roman" w:hAnsi="Times New Roman"/>
          <w:i/>
          <w:iCs/>
        </w:rPr>
        <w:t xml:space="preserve">„České překlady Úmluvy nejčastěji nadepisují čl. 1 Protokolu č. 1 jako „ochrana vlastnictví“. Samotný text článku nicméně mluví ve všech svých třech větách o „majetku“. Neoficiální český překlad Úmluvy, pořízený ESLP a volně přístupný na jeho </w:t>
      </w:r>
      <w:r w:rsidR="00557C5C" w:rsidRPr="00557C5C">
        <w:rPr>
          <w:rFonts w:ascii="Times New Roman" w:hAnsi="Times New Roman"/>
          <w:i/>
          <w:iCs/>
        </w:rPr>
        <w:lastRenderedPageBreak/>
        <w:t>internetových stránkách, obsahuje jak v nadpisu, tak textu čl. 1 Protokolu č. 1 obrat „majetek“.“</w:t>
      </w:r>
      <w:r w:rsidRPr="00251DC6">
        <w:rPr>
          <w:rFonts w:ascii="Times New Roman" w:hAnsi="Times New Roman"/>
          <w:iCs/>
        </w:rPr>
        <w:t>aniž by uvedla požadovaný odkaz</w:t>
      </w:r>
      <w:r>
        <w:rPr>
          <w:rFonts w:ascii="Times New Roman" w:hAnsi="Times New Roman"/>
          <w:iCs/>
        </w:rPr>
        <w:t xml:space="preserve"> na zdroj</w:t>
      </w:r>
      <w:r w:rsidRPr="00251DC6">
        <w:rPr>
          <w:rFonts w:ascii="Times New Roman" w:hAnsi="Times New Roman"/>
          <w:iCs/>
        </w:rPr>
        <w:t>.</w:t>
      </w:r>
    </w:p>
    <w:p w:rsidR="00557C5C" w:rsidRPr="005655FF" w:rsidRDefault="00E01F45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Nepovaž</w:t>
      </w:r>
      <w:r w:rsidR="00557C5C" w:rsidRPr="00557C5C">
        <w:rPr>
          <w:rFonts w:ascii="Times New Roman" w:hAnsi="Times New Roman"/>
          <w:iCs/>
        </w:rPr>
        <w:t>uji za vhodně zvolenou větu na str. 4</w:t>
      </w:r>
      <w:r w:rsidR="00251DC6">
        <w:rPr>
          <w:rFonts w:ascii="Times New Roman" w:hAnsi="Times New Roman"/>
          <w:iCs/>
        </w:rPr>
        <w:t xml:space="preserve">: </w:t>
      </w:r>
      <w:r w:rsidR="00557C5C" w:rsidRPr="00557C5C">
        <w:rPr>
          <w:rFonts w:ascii="Times New Roman" w:hAnsi="Times New Roman"/>
          <w:iCs/>
        </w:rPr>
        <w:t>„</w:t>
      </w:r>
      <w:r w:rsidR="00557C5C" w:rsidRPr="00557C5C">
        <w:rPr>
          <w:rFonts w:ascii="Times New Roman" w:hAnsi="Times New Roman"/>
          <w:i/>
        </w:rPr>
        <w:t>Takového zmatení ale dosahuje rovněž i původní znění v angličtině a francouzštině.“</w:t>
      </w:r>
      <w:r>
        <w:rPr>
          <w:rFonts w:ascii="Times New Roman" w:hAnsi="Times New Roman"/>
          <w:i/>
        </w:rPr>
        <w:t>,</w:t>
      </w:r>
      <w:r w:rsidR="00251DC6">
        <w:rPr>
          <w:rFonts w:ascii="Times New Roman" w:hAnsi="Times New Roman"/>
          <w:i/>
        </w:rPr>
        <w:t xml:space="preserve"> </w:t>
      </w:r>
      <w:r w:rsidR="00251DC6" w:rsidRPr="00251DC6">
        <w:rPr>
          <w:rFonts w:ascii="Times New Roman" w:hAnsi="Times New Roman"/>
        </w:rPr>
        <w:t>k</w:t>
      </w:r>
      <w:r w:rsidR="00557C5C" w:rsidRPr="00251DC6">
        <w:rPr>
          <w:rFonts w:ascii="Times New Roman" w:hAnsi="Times New Roman"/>
        </w:rPr>
        <w:t>terá</w:t>
      </w:r>
      <w:r w:rsidR="00557C5C">
        <w:rPr>
          <w:rFonts w:ascii="Times New Roman" w:hAnsi="Times New Roman"/>
        </w:rPr>
        <w:t xml:space="preserve"> byla evidentně nevhodně přeformulována </w:t>
      </w:r>
      <w:r w:rsidR="00557C5C" w:rsidRPr="005655FF">
        <w:rPr>
          <w:rFonts w:ascii="Times New Roman" w:hAnsi="Times New Roman"/>
        </w:rPr>
        <w:t>ze zdroje a autorka jí chtěla vyjádřit rozkolísanost terminologie.</w:t>
      </w:r>
    </w:p>
    <w:p w:rsidR="00557C5C" w:rsidRPr="005655FF" w:rsidRDefault="00557C5C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655FF">
        <w:rPr>
          <w:rFonts w:ascii="Times New Roman" w:hAnsi="Times New Roman"/>
        </w:rPr>
        <w:t>Dle mého názoru je chybně uvedena citace pod čarou č. 17</w:t>
      </w:r>
      <w:r w:rsidR="005655FF" w:rsidRPr="005655FF">
        <w:rPr>
          <w:rFonts w:ascii="Times New Roman" w:hAnsi="Times New Roman"/>
        </w:rPr>
        <w:t>, 21 atp.</w:t>
      </w:r>
    </w:p>
    <w:p w:rsidR="005655FF" w:rsidRPr="005655FF" w:rsidRDefault="005655FF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655FF">
        <w:rPr>
          <w:rFonts w:ascii="Times New Roman" w:hAnsi="Times New Roman"/>
        </w:rPr>
        <w:t>Na str. 7 je několik přímých citací pod sebou, což nepůsobí v odborné práci tohoto druhu nikterak vhodně.</w:t>
      </w:r>
    </w:p>
    <w:p w:rsidR="005655FF" w:rsidRPr="005655FF" w:rsidRDefault="005655FF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655FF">
        <w:rPr>
          <w:rFonts w:ascii="Times New Roman" w:hAnsi="Times New Roman"/>
        </w:rPr>
        <w:t>Na str. 9 zjevně chybí citace či zdroj u věty: „</w:t>
      </w:r>
      <w:r w:rsidRPr="005655FF">
        <w:rPr>
          <w:rFonts w:ascii="Times New Roman" w:hAnsi="Times New Roman"/>
          <w:i/>
        </w:rPr>
        <w:t>Komentář k Listině tuto formulaci neshledává jako vhodně formulovanou, podle ní má, byť jen teoreticky, politická moc široký prostor pro omezení vlastnických práv.</w:t>
      </w:r>
      <w:r w:rsidRPr="005655FF">
        <w:rPr>
          <w:rFonts w:ascii="Times New Roman" w:hAnsi="Times New Roman"/>
        </w:rPr>
        <w:t>“</w:t>
      </w:r>
    </w:p>
    <w:p w:rsidR="007026A7" w:rsidRPr="00BC5046" w:rsidRDefault="007026A7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7026A7" w:rsidRPr="00BC5046" w:rsidRDefault="00251DC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Celkově p</w:t>
      </w:r>
      <w:r w:rsidR="007026A7" w:rsidRPr="00BC5046">
        <w:rPr>
          <w:rFonts w:ascii="Times New Roman" w:hAnsi="Times New Roman"/>
        </w:rPr>
        <w:t xml:space="preserve">ráce působí velmi útržkovitě, povrchně, autorka se snažila propojit ústavní právo s právem </w:t>
      </w:r>
      <w:r>
        <w:rPr>
          <w:rFonts w:ascii="Times New Roman" w:hAnsi="Times New Roman"/>
        </w:rPr>
        <w:t>občanským, avšak toto s</w:t>
      </w:r>
      <w:r w:rsidR="007026A7" w:rsidRPr="00BC5046">
        <w:rPr>
          <w:rFonts w:ascii="Times New Roman" w:hAnsi="Times New Roman"/>
        </w:rPr>
        <w:t>e jí příliš nezdařilo a práce působí velmi kusým dojmem, kdy části parafrázované právní úpravy doplňuje přímými citacemi, vlastní názory či závě</w:t>
      </w:r>
      <w:r w:rsidR="00BC5046" w:rsidRPr="00BC5046">
        <w:rPr>
          <w:rFonts w:ascii="Times New Roman" w:hAnsi="Times New Roman"/>
        </w:rPr>
        <w:t>ry diplomantky práce postrádá. D</w:t>
      </w:r>
      <w:r w:rsidR="007026A7" w:rsidRPr="00BC5046">
        <w:rPr>
          <w:rFonts w:ascii="Times New Roman" w:hAnsi="Times New Roman"/>
        </w:rPr>
        <w:t>iplomantka si v úvodu ani nevytkla žádný cíl. Její práce je tedy pouhým popisem právní úpravy s doplněním citací z použité literatury, čemuž napovídá např. i odstavec 2 a 3 na str. 1</w:t>
      </w:r>
      <w:r w:rsidR="00420D96">
        <w:rPr>
          <w:rFonts w:ascii="Times New Roman" w:hAnsi="Times New Roman"/>
        </w:rPr>
        <w:t>2</w:t>
      </w:r>
      <w:r w:rsidR="007026A7" w:rsidRPr="00BC5046">
        <w:rPr>
          <w:rFonts w:ascii="Times New Roman" w:hAnsi="Times New Roman"/>
        </w:rPr>
        <w:t xml:space="preserve">. </w:t>
      </w:r>
    </w:p>
    <w:p w:rsidR="007026A7" w:rsidRPr="00BC5046" w:rsidRDefault="007026A7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7026A7" w:rsidRPr="00BC5046" w:rsidRDefault="00251DC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026A7" w:rsidRPr="00BC5046">
        <w:rPr>
          <w:rFonts w:ascii="Times New Roman" w:hAnsi="Times New Roman"/>
        </w:rPr>
        <w:t xml:space="preserve">ýše uvedenému nasvědčuje i to, že ve </w:t>
      </w:r>
      <w:proofErr w:type="gramStart"/>
      <w:r w:rsidR="007026A7" w:rsidRPr="00BC5046">
        <w:rPr>
          <w:rFonts w:ascii="Times New Roman" w:hAnsi="Times New Roman"/>
        </w:rPr>
        <w:t>stěžejní 3 kapitole</w:t>
      </w:r>
      <w:proofErr w:type="gramEnd"/>
      <w:r w:rsidR="007026A7" w:rsidRPr="00BC5046">
        <w:rPr>
          <w:rFonts w:ascii="Times New Roman" w:hAnsi="Times New Roman"/>
        </w:rPr>
        <w:t xml:space="preserve"> autorka nikterak zdařile popisuje funkci Ústavního soudu ČR, což pro danou kapitolu není významné, významnější by bylo hlouběji se zabývat problematickými otázkami či řešenými problémy</w:t>
      </w:r>
      <w:r>
        <w:rPr>
          <w:rFonts w:ascii="Times New Roman" w:hAnsi="Times New Roman"/>
        </w:rPr>
        <w:t xml:space="preserve"> související s tématem</w:t>
      </w:r>
      <w:r w:rsidR="007026A7" w:rsidRPr="00BC5046">
        <w:rPr>
          <w:rFonts w:ascii="Times New Roman" w:hAnsi="Times New Roman"/>
        </w:rPr>
        <w:t xml:space="preserve"> dané kapitoly.</w:t>
      </w:r>
      <w:r w:rsidR="00BC5046">
        <w:rPr>
          <w:rFonts w:ascii="Times New Roman" w:hAnsi="Times New Roman"/>
        </w:rPr>
        <w:t xml:space="preserve"> Navíc pokud autorka </w:t>
      </w:r>
      <w:r w:rsidR="00BC5046" w:rsidRPr="00BC5046">
        <w:rPr>
          <w:rFonts w:ascii="Times New Roman" w:hAnsi="Times New Roman"/>
        </w:rPr>
        <w:t>popisuje takto stručně právní úpravu Ústavního soudu, působí</w:t>
      </w:r>
      <w:r w:rsidR="00420D96">
        <w:rPr>
          <w:rFonts w:ascii="Times New Roman" w:hAnsi="Times New Roman"/>
        </w:rPr>
        <w:t xml:space="preserve"> to</w:t>
      </w:r>
      <w:r w:rsidR="00BC5046" w:rsidRPr="00BC5046">
        <w:rPr>
          <w:rFonts w:ascii="Times New Roman" w:hAnsi="Times New Roman"/>
        </w:rPr>
        <w:t xml:space="preserve"> dojmem, že se pouze snažila získat požadovaný minimální počet stran, neboť tuto kapitolu lze jednoznačně označit za povrchní a pro práci není nikterak </w:t>
      </w:r>
      <w:r>
        <w:rPr>
          <w:rFonts w:ascii="Times New Roman" w:hAnsi="Times New Roman"/>
        </w:rPr>
        <w:t>přínosná</w:t>
      </w:r>
      <w:r w:rsidR="00BC5046" w:rsidRPr="00BC50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</w:t>
      </w:r>
      <w:r w:rsidR="00BC5046" w:rsidRPr="00BC5046">
        <w:rPr>
          <w:rFonts w:ascii="Times New Roman" w:hAnsi="Times New Roman"/>
        </w:rPr>
        <w:t>apitola 3.6 v důsledku značného zjednodušení</w:t>
      </w:r>
      <w:r w:rsidR="00420D96">
        <w:rPr>
          <w:rFonts w:ascii="Times New Roman" w:hAnsi="Times New Roman"/>
        </w:rPr>
        <w:t xml:space="preserve"> problematiky působí nepřesně a </w:t>
      </w:r>
      <w:r w:rsidR="00BC5046" w:rsidRPr="00BC5046">
        <w:rPr>
          <w:rFonts w:ascii="Times New Roman" w:hAnsi="Times New Roman"/>
        </w:rPr>
        <w:t>myšlenka v ní uvedená</w:t>
      </w:r>
      <w:r>
        <w:rPr>
          <w:rFonts w:ascii="Times New Roman" w:hAnsi="Times New Roman"/>
        </w:rPr>
        <w:t>:</w:t>
      </w:r>
      <w:r w:rsidR="00420D96">
        <w:rPr>
          <w:rFonts w:ascii="Times New Roman" w:hAnsi="Times New Roman"/>
        </w:rPr>
        <w:t xml:space="preserve"> </w:t>
      </w:r>
      <w:r w:rsidR="00BC5046" w:rsidRPr="00BC5046">
        <w:rPr>
          <w:rFonts w:ascii="Times New Roman" w:hAnsi="Times New Roman"/>
          <w:i/>
        </w:rPr>
        <w:t xml:space="preserve">„Tato jednoduchá formulace přináší jedno z největších teoretických i praktických </w:t>
      </w:r>
      <w:proofErr w:type="spellStart"/>
      <w:r w:rsidR="00BC5046" w:rsidRPr="00BC5046">
        <w:rPr>
          <w:rFonts w:ascii="Times New Roman" w:hAnsi="Times New Roman"/>
          <w:i/>
        </w:rPr>
        <w:t>interpretativních</w:t>
      </w:r>
      <w:proofErr w:type="spellEnd"/>
      <w:r w:rsidR="00BC5046" w:rsidRPr="00BC5046">
        <w:rPr>
          <w:rFonts w:ascii="Times New Roman" w:hAnsi="Times New Roman"/>
          <w:i/>
        </w:rPr>
        <w:t xml:space="preserve"> dilemat z hlediska činnosti Ústavního soudu.“</w:t>
      </w:r>
      <w:r w:rsidR="00BC5046">
        <w:rPr>
          <w:rFonts w:ascii="Times New Roman" w:hAnsi="Times New Roman"/>
          <w:i/>
        </w:rPr>
        <w:t xml:space="preserve"> – </w:t>
      </w:r>
      <w:r w:rsidR="00BC5046">
        <w:rPr>
          <w:rFonts w:ascii="Times New Roman" w:hAnsi="Times New Roman"/>
        </w:rPr>
        <w:t xml:space="preserve">by si v souvislosti s tématem práce zasloužila podrobný rozbor, </w:t>
      </w:r>
      <w:r w:rsidR="00420D96">
        <w:rPr>
          <w:rFonts w:ascii="Times New Roman" w:hAnsi="Times New Roman"/>
        </w:rPr>
        <w:t xml:space="preserve">což </w:t>
      </w:r>
      <w:r w:rsidR="00BC5046">
        <w:rPr>
          <w:rFonts w:ascii="Times New Roman" w:hAnsi="Times New Roman"/>
        </w:rPr>
        <w:t xml:space="preserve">autorka </w:t>
      </w:r>
      <w:r w:rsidR="00420D96">
        <w:rPr>
          <w:rFonts w:ascii="Times New Roman" w:hAnsi="Times New Roman"/>
        </w:rPr>
        <w:t>neučinila. N</w:t>
      </w:r>
      <w:r w:rsidR="00BC5046">
        <w:rPr>
          <w:rFonts w:ascii="Times New Roman" w:hAnsi="Times New Roman"/>
        </w:rPr>
        <w:t>avíc se domnívám, že s jejími tvrzeními v dané kapitole se nelze ztotožnit.</w:t>
      </w:r>
    </w:p>
    <w:p w:rsidR="00BC5046" w:rsidRPr="00BC5046" w:rsidRDefault="00BC504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C5046" w:rsidRDefault="00BC504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C5046">
        <w:rPr>
          <w:rFonts w:ascii="Times New Roman" w:hAnsi="Times New Roman"/>
        </w:rPr>
        <w:t>Pokud autorka na str. 31 uvádí: „</w:t>
      </w:r>
      <w:r w:rsidRPr="00BC5046">
        <w:rPr>
          <w:rFonts w:ascii="Times New Roman" w:hAnsi="Times New Roman"/>
          <w:i/>
        </w:rPr>
        <w:t>Šimíček uvádí, že ústavní stížnost představuje specifický prostředek k ochraně ústavně zaručených základních práv a svobod</w:t>
      </w:r>
      <w:r w:rsidRPr="00BC5046">
        <w:rPr>
          <w:rFonts w:ascii="Times New Roman" w:hAnsi="Times New Roman"/>
        </w:rPr>
        <w:t>.“ - neuvádí, kde čerpala</w:t>
      </w:r>
      <w:r w:rsidR="00E01F45">
        <w:rPr>
          <w:rFonts w:ascii="Times New Roman" w:hAnsi="Times New Roman"/>
        </w:rPr>
        <w:t>.</w:t>
      </w:r>
    </w:p>
    <w:p w:rsidR="00BC5046" w:rsidRPr="00C91F30" w:rsidRDefault="00BC504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C5046" w:rsidRDefault="00251DC6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C5046" w:rsidRPr="00C91F30">
        <w:rPr>
          <w:rFonts w:ascii="Times New Roman" w:hAnsi="Times New Roman"/>
        </w:rPr>
        <w:t>apitola 3.7 je psána značně nepřehledně, čtenář se ztrácí v tom, kde končí jedno rozhodnutí a začíná jiné</w:t>
      </w:r>
      <w:r w:rsidR="003022A9" w:rsidRPr="00C91F30">
        <w:rPr>
          <w:rFonts w:ascii="Times New Roman" w:hAnsi="Times New Roman"/>
        </w:rPr>
        <w:t>, kdy ani není jednotné</w:t>
      </w:r>
      <w:r w:rsidR="0058449B">
        <w:rPr>
          <w:rFonts w:ascii="Times New Roman" w:hAnsi="Times New Roman"/>
        </w:rPr>
        <w:t xml:space="preserve"> označení</w:t>
      </w:r>
      <w:r w:rsidR="00420D96">
        <w:rPr>
          <w:rFonts w:ascii="Times New Roman" w:hAnsi="Times New Roman"/>
        </w:rPr>
        <w:t xml:space="preserve"> prezentovaných</w:t>
      </w:r>
      <w:r w:rsidR="0058449B">
        <w:rPr>
          <w:rFonts w:ascii="Times New Roman" w:hAnsi="Times New Roman"/>
        </w:rPr>
        <w:t xml:space="preserve"> rozhodnutí např., že </w:t>
      </w:r>
      <w:r w:rsidR="003022A9" w:rsidRPr="00C91F30">
        <w:rPr>
          <w:rFonts w:ascii="Times New Roman" w:hAnsi="Times New Roman"/>
        </w:rPr>
        <w:t xml:space="preserve">by jednotlivá rozhodnutí byla členěna do podkapitol, navíc se opět jedná o předestření a jakousi </w:t>
      </w:r>
      <w:proofErr w:type="spellStart"/>
      <w:r w:rsidR="003022A9" w:rsidRPr="00C91F30">
        <w:rPr>
          <w:rFonts w:ascii="Times New Roman" w:hAnsi="Times New Roman"/>
        </w:rPr>
        <w:t>přeformulaci</w:t>
      </w:r>
      <w:proofErr w:type="spellEnd"/>
      <w:r w:rsidR="003022A9" w:rsidRPr="00C91F30">
        <w:rPr>
          <w:rFonts w:ascii="Times New Roman" w:hAnsi="Times New Roman"/>
        </w:rPr>
        <w:t xml:space="preserve"> prezentovaných rozhodnutí, nikoliv o žádný vlastní názor či závěr autorky, či polemik</w:t>
      </w:r>
      <w:r w:rsidR="00E01F45">
        <w:rPr>
          <w:rFonts w:ascii="Times New Roman" w:hAnsi="Times New Roman"/>
        </w:rPr>
        <w:t>u</w:t>
      </w:r>
      <w:r w:rsidR="003022A9" w:rsidRPr="00C91F30">
        <w:rPr>
          <w:rFonts w:ascii="Times New Roman" w:hAnsi="Times New Roman"/>
        </w:rPr>
        <w:t xml:space="preserve">, nebo </w:t>
      </w:r>
      <w:r w:rsidR="00C91F30" w:rsidRPr="00C91F30">
        <w:rPr>
          <w:rFonts w:ascii="Times New Roman" w:hAnsi="Times New Roman"/>
        </w:rPr>
        <w:t xml:space="preserve">zhodnocení. Na str. 23 je pak uvedeno rozhodnutí </w:t>
      </w:r>
      <w:proofErr w:type="spellStart"/>
      <w:r w:rsidR="00C91F30" w:rsidRPr="00C91F30">
        <w:rPr>
          <w:rFonts w:ascii="Times New Roman" w:hAnsi="Times New Roman"/>
        </w:rPr>
        <w:t>sp</w:t>
      </w:r>
      <w:proofErr w:type="spellEnd"/>
      <w:r w:rsidR="00C91F30" w:rsidRPr="00C91F30">
        <w:rPr>
          <w:rFonts w:ascii="Times New Roman" w:hAnsi="Times New Roman"/>
        </w:rPr>
        <w:t xml:space="preserve">. zn. </w:t>
      </w:r>
      <w:proofErr w:type="spellStart"/>
      <w:r w:rsidR="00C91F30" w:rsidRPr="00C91F30">
        <w:rPr>
          <w:rFonts w:ascii="Times New Roman" w:hAnsi="Times New Roman"/>
        </w:rPr>
        <w:t>Pl</w:t>
      </w:r>
      <w:proofErr w:type="spellEnd"/>
      <w:r w:rsidR="00C91F30" w:rsidRPr="00C91F30">
        <w:rPr>
          <w:rFonts w:ascii="Times New Roman" w:hAnsi="Times New Roman"/>
        </w:rPr>
        <w:t>. ÚS 2/02, resp. výtah právní věty, aniž by bylo zřejmé,</w:t>
      </w:r>
      <w:r w:rsidR="00C91F30">
        <w:rPr>
          <w:rFonts w:ascii="Times New Roman" w:hAnsi="Times New Roman"/>
        </w:rPr>
        <w:t xml:space="preserve"> co tím chtěla diploma</w:t>
      </w:r>
      <w:r w:rsidR="00C91F30" w:rsidRPr="00C91F30">
        <w:rPr>
          <w:rFonts w:ascii="Times New Roman" w:hAnsi="Times New Roman"/>
        </w:rPr>
        <w:t>n</w:t>
      </w:r>
      <w:r w:rsidR="00C91F30">
        <w:rPr>
          <w:rFonts w:ascii="Times New Roman" w:hAnsi="Times New Roman"/>
        </w:rPr>
        <w:t>t</w:t>
      </w:r>
      <w:r w:rsidR="00C91F30" w:rsidRPr="00C91F30">
        <w:rPr>
          <w:rFonts w:ascii="Times New Roman" w:hAnsi="Times New Roman"/>
        </w:rPr>
        <w:t>ka říct, taktéž bez větší pozornosti zůstává diplomantkou uvedený Nález</w:t>
      </w:r>
      <w:r w:rsidR="0058449B">
        <w:rPr>
          <w:rFonts w:ascii="Times New Roman" w:hAnsi="Times New Roman"/>
        </w:rPr>
        <w:t xml:space="preserve"> </w:t>
      </w:r>
      <w:proofErr w:type="spellStart"/>
      <w:r w:rsidR="0058449B">
        <w:rPr>
          <w:rFonts w:ascii="Times New Roman" w:hAnsi="Times New Roman"/>
        </w:rPr>
        <w:t>ÚS</w:t>
      </w:r>
      <w:r w:rsidR="00C91F30" w:rsidRPr="00C91F30">
        <w:rPr>
          <w:rFonts w:ascii="Times New Roman" w:hAnsi="Times New Roman"/>
        </w:rPr>
        <w:t>sp</w:t>
      </w:r>
      <w:proofErr w:type="spellEnd"/>
      <w:r w:rsidR="00C91F30" w:rsidRPr="00C91F30">
        <w:rPr>
          <w:rFonts w:ascii="Times New Roman" w:hAnsi="Times New Roman"/>
        </w:rPr>
        <w:t xml:space="preserve">. zn. </w:t>
      </w:r>
      <w:proofErr w:type="spellStart"/>
      <w:r w:rsidR="00C91F30" w:rsidRPr="00C91F30">
        <w:rPr>
          <w:rFonts w:ascii="Times New Roman" w:hAnsi="Times New Roman"/>
        </w:rPr>
        <w:t>Pl</w:t>
      </w:r>
      <w:proofErr w:type="spellEnd"/>
      <w:r w:rsidR="00C91F30" w:rsidRPr="00C91F30">
        <w:rPr>
          <w:rFonts w:ascii="Times New Roman" w:hAnsi="Times New Roman"/>
        </w:rPr>
        <w:t>. ÚS 12/03</w:t>
      </w:r>
    </w:p>
    <w:p w:rsidR="00C91F30" w:rsidRDefault="00C91F30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C91F30" w:rsidRDefault="00C91F30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Kapitola 3.8 bez bližšího obecného úvodu do problematiky a vytyčení sporných otázek začíná dalším nepovedeným přehledem judikatury, obdobně jako v kapitole 3.7, když není zřejmé, zda autorka ve druhém odstavci již </w:t>
      </w:r>
      <w:proofErr w:type="spellStart"/>
      <w:r>
        <w:rPr>
          <w:rFonts w:ascii="Times New Roman" w:hAnsi="Times New Roman"/>
        </w:rPr>
        <w:t>přeformulovává</w:t>
      </w:r>
      <w:proofErr w:type="spellEnd"/>
      <w:r>
        <w:rPr>
          <w:rFonts w:ascii="Times New Roman" w:hAnsi="Times New Roman"/>
        </w:rPr>
        <w:t xml:space="preserve"> rozhodnutí či provádí popis úpravy.</w:t>
      </w:r>
    </w:p>
    <w:p w:rsidR="00E01F45" w:rsidRDefault="00E01F45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C91F30" w:rsidRDefault="00C91F30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Kapitola pojednávající o ESLP pak obsahuje </w:t>
      </w:r>
      <w:r w:rsidRPr="001F7609">
        <w:rPr>
          <w:rFonts w:ascii="Times New Roman" w:hAnsi="Times New Roman"/>
        </w:rPr>
        <w:t xml:space="preserve">podkapitolu </w:t>
      </w:r>
      <w:r w:rsidRPr="001F7609">
        <w:rPr>
          <w:rFonts w:ascii="Times New Roman" w:hAnsi="Times New Roman"/>
          <w:bCs/>
        </w:rPr>
        <w:t>4.2 Vývoj vztahu ES/EU k lidským právům</w:t>
      </w:r>
      <w:r w:rsidR="001F7609">
        <w:rPr>
          <w:rFonts w:ascii="Times New Roman" w:hAnsi="Times New Roman"/>
          <w:bCs/>
        </w:rPr>
        <w:t xml:space="preserve"> – význam této podkapit</w:t>
      </w:r>
      <w:r w:rsidR="00420D96">
        <w:rPr>
          <w:rFonts w:ascii="Times New Roman" w:hAnsi="Times New Roman"/>
          <w:bCs/>
        </w:rPr>
        <w:t>oly není oponentce zcela zřejmý</w:t>
      </w:r>
      <w:r w:rsidR="001F7609">
        <w:rPr>
          <w:rFonts w:ascii="Times New Roman" w:hAnsi="Times New Roman"/>
          <w:bCs/>
        </w:rPr>
        <w:t>.</w:t>
      </w:r>
    </w:p>
    <w:p w:rsidR="00E01F45" w:rsidRDefault="00E01F45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1F7609" w:rsidRDefault="001F7609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Nutno vytknout, že i v </w:t>
      </w:r>
      <w:r w:rsidRPr="001F7609">
        <w:rPr>
          <w:rFonts w:ascii="Times New Roman" w:hAnsi="Times New Roman"/>
          <w:bCs/>
        </w:rPr>
        <w:t>kapitole 4</w:t>
      </w:r>
      <w:r>
        <w:rPr>
          <w:rFonts w:ascii="Times New Roman" w:hAnsi="Times New Roman"/>
          <w:bCs/>
        </w:rPr>
        <w:t>.„</w:t>
      </w:r>
      <w:r w:rsidRPr="001F7609">
        <w:rPr>
          <w:rFonts w:ascii="Times New Roman" w:hAnsi="Times New Roman"/>
          <w:bCs/>
        </w:rPr>
        <w:t>Ochrana majetku ve světle judikatury Evropského soudu pro lidská práva</w:t>
      </w:r>
      <w:r>
        <w:rPr>
          <w:rFonts w:ascii="Times New Roman" w:hAnsi="Times New Roman"/>
          <w:bCs/>
        </w:rPr>
        <w:t>“</w:t>
      </w:r>
      <w:r w:rsidRPr="001F7609">
        <w:rPr>
          <w:rFonts w:ascii="Times New Roman" w:hAnsi="Times New Roman"/>
          <w:bCs/>
        </w:rPr>
        <w:t xml:space="preserve"> je obsáhlý úvod pojednávající o úpravě, funkci a pravomocích ESLP, což dle mého názoru není v této kapitole žádoucí</w:t>
      </w:r>
      <w:r w:rsidR="0058449B">
        <w:rPr>
          <w:rFonts w:ascii="Times New Roman" w:hAnsi="Times New Roman"/>
          <w:bCs/>
        </w:rPr>
        <w:t>, viz již výše podrobně uvedeno</w:t>
      </w:r>
      <w:r w:rsidR="00E01F45">
        <w:rPr>
          <w:rFonts w:ascii="Times New Roman" w:hAnsi="Times New Roman"/>
          <w:bCs/>
        </w:rPr>
        <w:t>.</w:t>
      </w:r>
    </w:p>
    <w:p w:rsidR="00E01F45" w:rsidRDefault="00E01F45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42353E" w:rsidRPr="001F7609" w:rsidRDefault="0042353E" w:rsidP="002453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Na str. 43 odst. 2 – není zřejmé</w:t>
      </w:r>
      <w:r w:rsidR="00420D9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odkud uvedené info</w:t>
      </w:r>
      <w:r w:rsidR="00E01F45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mace autorka čerpala, ani </w:t>
      </w:r>
      <w:r w:rsidR="00E01F45">
        <w:rPr>
          <w:rFonts w:ascii="Times New Roman" w:hAnsi="Times New Roman"/>
          <w:bCs/>
        </w:rPr>
        <w:t>„kteří</w:t>
      </w:r>
      <w:r>
        <w:rPr>
          <w:rFonts w:ascii="Times New Roman" w:hAnsi="Times New Roman"/>
          <w:bCs/>
        </w:rPr>
        <w:t xml:space="preserve"> komentátoři uvád</w:t>
      </w:r>
      <w:r w:rsidR="00251DC6">
        <w:rPr>
          <w:rFonts w:ascii="Times New Roman" w:hAnsi="Times New Roman"/>
          <w:bCs/>
        </w:rPr>
        <w:t>ě</w:t>
      </w:r>
      <w:r>
        <w:rPr>
          <w:rFonts w:ascii="Times New Roman" w:hAnsi="Times New Roman"/>
          <w:bCs/>
        </w:rPr>
        <w:t>jí</w:t>
      </w:r>
      <w:r w:rsidR="0058449B">
        <w:rPr>
          <w:rFonts w:ascii="Times New Roman" w:hAnsi="Times New Roman"/>
          <w:bCs/>
        </w:rPr>
        <w:t>“.</w:t>
      </w:r>
    </w:p>
    <w:p w:rsidR="00BC5046" w:rsidRPr="00C91F30" w:rsidRDefault="00BC5046" w:rsidP="00251D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42353E" w:rsidRDefault="00B97E1D" w:rsidP="00251DC6">
      <w:pPr>
        <w:pStyle w:val="Default"/>
        <w:spacing w:line="360" w:lineRule="auto"/>
        <w:rPr>
          <w:rFonts w:ascii="Times New Roman" w:eastAsiaTheme="minorHAnsi" w:hAnsi="Times New Roman" w:cs="Times New Roman"/>
        </w:rPr>
      </w:pPr>
      <w:r w:rsidRPr="00B419CC">
        <w:rPr>
          <w:rFonts w:ascii="Times New Roman" w:hAnsi="Times New Roman"/>
        </w:rPr>
        <w:t xml:space="preserve">Práce </w:t>
      </w:r>
      <w:r w:rsidR="00EC2C36" w:rsidRPr="00B419CC">
        <w:rPr>
          <w:rFonts w:ascii="Times New Roman" w:hAnsi="Times New Roman"/>
        </w:rPr>
        <w:t>dle mého názoru je psána</w:t>
      </w:r>
      <w:r w:rsidR="00E01F45">
        <w:rPr>
          <w:rFonts w:ascii="Times New Roman" w:hAnsi="Times New Roman"/>
        </w:rPr>
        <w:t xml:space="preserve"> na</w:t>
      </w:r>
      <w:r w:rsidR="00EC2C36" w:rsidRPr="00B419CC">
        <w:rPr>
          <w:rFonts w:ascii="Times New Roman" w:hAnsi="Times New Roman"/>
        </w:rPr>
        <w:t xml:space="preserve"> </w:t>
      </w:r>
      <w:r w:rsidR="0042353E">
        <w:rPr>
          <w:rFonts w:ascii="Times New Roman" w:hAnsi="Times New Roman"/>
        </w:rPr>
        <w:t>nízké</w:t>
      </w:r>
      <w:r w:rsidR="00E01F45">
        <w:rPr>
          <w:rFonts w:ascii="Times New Roman" w:hAnsi="Times New Roman"/>
        </w:rPr>
        <w:t xml:space="preserve"> </w:t>
      </w:r>
      <w:r w:rsidRPr="00B419CC">
        <w:rPr>
          <w:rFonts w:ascii="Times New Roman" w:hAnsi="Times New Roman"/>
        </w:rPr>
        <w:t xml:space="preserve">odborné úrovni, </w:t>
      </w:r>
      <w:r w:rsidR="0042353E">
        <w:rPr>
          <w:rFonts w:ascii="Times New Roman" w:hAnsi="Times New Roman"/>
        </w:rPr>
        <w:t xml:space="preserve">jak bylo podrobně rozvedeno výše. Autorka pro svou </w:t>
      </w:r>
      <w:r w:rsidR="00251DC6">
        <w:rPr>
          <w:rFonts w:ascii="Times New Roman" w:hAnsi="Times New Roman"/>
        </w:rPr>
        <w:t>práci využila množství literatury, z které využila značné množství přímých citací. S ohledem na název práce: „</w:t>
      </w:r>
      <w:r w:rsidR="00251DC6" w:rsidRPr="00251DC6">
        <w:rPr>
          <w:rFonts w:ascii="Times New Roman" w:eastAsiaTheme="minorHAnsi" w:hAnsi="Times New Roman" w:cs="Times New Roman"/>
        </w:rPr>
        <w:t>Ochrana majetku ve světle judikatury Ústavního soudu ČR a Evropského soudu pro lidská práva</w:t>
      </w:r>
      <w:r w:rsidR="00251DC6">
        <w:rPr>
          <w:rFonts w:ascii="Times New Roman" w:eastAsiaTheme="minorHAnsi" w:hAnsi="Times New Roman" w:cs="Times New Roman"/>
        </w:rPr>
        <w:t xml:space="preserve">“ bych očekávala využití většího množství judikatury. </w:t>
      </w:r>
    </w:p>
    <w:p w:rsidR="00251DC6" w:rsidRDefault="00251DC6" w:rsidP="00251D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Práce</w:t>
      </w:r>
      <w:proofErr w:type="gramEnd"/>
      <w:r>
        <w:rPr>
          <w:rFonts w:ascii="Times New Roman" w:eastAsiaTheme="minorHAnsi" w:hAnsi="Times New Roman" w:cs="Times New Roman"/>
        </w:rPr>
        <w:t xml:space="preserve"> obsahuje minimální množství písařských a pravopisných chyb (např. na str. 19 </w:t>
      </w:r>
      <w:r w:rsidRPr="00C91F30">
        <w:rPr>
          <w:rFonts w:ascii="Times New Roman" w:hAnsi="Times New Roman" w:cs="Times New Roman"/>
        </w:rPr>
        <w:t>nevyhověli – nevyhověly</w:t>
      </w:r>
      <w:r>
        <w:rPr>
          <w:rFonts w:ascii="Times New Roman" w:hAnsi="Times New Roman" w:cs="Times New Roman"/>
        </w:rPr>
        <w:t xml:space="preserve"> </w:t>
      </w:r>
      <w:r w:rsidR="00420D96">
        <w:rPr>
          <w:rFonts w:ascii="Times New Roman" w:hAnsi="Times New Roman" w:cs="Times New Roman"/>
        </w:rPr>
        <w:t>nebo tamtéž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91F30">
        <w:rPr>
          <w:rFonts w:ascii="Times New Roman" w:hAnsi="Times New Roman" w:cs="Times New Roman"/>
        </w:rPr>
        <w:t>které</w:t>
      </w:r>
      <w:proofErr w:type="gramEnd"/>
      <w:r w:rsidRPr="00C91F30">
        <w:rPr>
          <w:rFonts w:ascii="Times New Roman" w:hAnsi="Times New Roman" w:cs="Times New Roman"/>
        </w:rPr>
        <w:t xml:space="preserve"> – který</w:t>
      </w:r>
      <w:r>
        <w:rPr>
          <w:rFonts w:ascii="Times New Roman" w:hAnsi="Times New Roman" w:cs="Times New Roman"/>
        </w:rPr>
        <w:t>).</w:t>
      </w:r>
    </w:p>
    <w:p w:rsidR="00251DC6" w:rsidRPr="00251DC6" w:rsidRDefault="00E01F45" w:rsidP="00251DC6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lastRenderedPageBreak/>
        <w:t>Nutno dále poukázat i na to, že práce není</w:t>
      </w:r>
      <w:r w:rsidR="00420D96">
        <w:rPr>
          <w:rFonts w:ascii="Times New Roman" w:hAnsi="Times New Roman"/>
        </w:rPr>
        <w:t xml:space="preserve"> zcela v pořádku</w:t>
      </w:r>
      <w:r>
        <w:rPr>
          <w:rFonts w:ascii="Times New Roman" w:hAnsi="Times New Roman"/>
        </w:rPr>
        <w:t xml:space="preserve"> ani po formální stránce, když v rozporu s vyhláškou </w:t>
      </w:r>
      <w:r>
        <w:rPr>
          <w:rFonts w:ascii="Times New Roman" w:hAnsi="Times New Roman"/>
          <w:bCs/>
        </w:rPr>
        <w:t xml:space="preserve">děkana FPR č. 53D/2021, </w:t>
      </w:r>
      <w:r>
        <w:rPr>
          <w:rFonts w:ascii="Times New Roman" w:hAnsi="Times New Roman"/>
        </w:rPr>
        <w:t xml:space="preserve">o státní závěrečné zkoušce – obhajoba diplomové nebo bakalářské práce </w:t>
      </w:r>
      <w:r w:rsidR="00420D96">
        <w:rPr>
          <w:rFonts w:ascii="Times New Roman" w:hAnsi="Times New Roman"/>
        </w:rPr>
        <w:t>neobsahuje</w:t>
      </w:r>
      <w:r>
        <w:rPr>
          <w:rFonts w:ascii="Times New Roman" w:hAnsi="Times New Roman"/>
        </w:rPr>
        <w:t xml:space="preserve"> podepsané čestné prohlášení.</w:t>
      </w:r>
    </w:p>
    <w:p w:rsidR="0018301D" w:rsidRDefault="0018301D" w:rsidP="001830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9F355E" w:rsidRPr="00441D4D" w:rsidRDefault="00441D4D" w:rsidP="00420D9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C5046">
        <w:rPr>
          <w:rFonts w:ascii="Times New Roman" w:hAnsi="Times New Roman"/>
        </w:rPr>
        <w:t>ředložená p</w:t>
      </w:r>
      <w:r>
        <w:rPr>
          <w:rFonts w:ascii="Times New Roman" w:hAnsi="Times New Roman"/>
        </w:rPr>
        <w:t xml:space="preserve">ráce </w:t>
      </w:r>
      <w:r w:rsidR="00BC5046">
        <w:rPr>
          <w:rFonts w:ascii="Times New Roman" w:hAnsi="Times New Roman"/>
        </w:rPr>
        <w:t xml:space="preserve">dle mého názoru </w:t>
      </w:r>
      <w:r w:rsidR="00EC2C36">
        <w:rPr>
          <w:rFonts w:ascii="Times New Roman" w:hAnsi="Times New Roman"/>
        </w:rPr>
        <w:t xml:space="preserve">splňuje </w:t>
      </w:r>
      <w:r>
        <w:rPr>
          <w:rFonts w:ascii="Times New Roman" w:hAnsi="Times New Roman"/>
        </w:rPr>
        <w:t xml:space="preserve">požadavky </w:t>
      </w:r>
      <w:r w:rsidRPr="00441D4D">
        <w:rPr>
          <w:rFonts w:ascii="Times New Roman" w:hAnsi="Times New Roman"/>
        </w:rPr>
        <w:t>kladené na práce tohoto druhu</w:t>
      </w:r>
      <w:r w:rsidR="00E01F45" w:rsidRPr="00E01F45">
        <w:rPr>
          <w:rFonts w:ascii="Times New Roman" w:hAnsi="Times New Roman"/>
        </w:rPr>
        <w:t xml:space="preserve"> </w:t>
      </w:r>
      <w:r w:rsidR="00E01F45">
        <w:rPr>
          <w:rFonts w:ascii="Times New Roman" w:hAnsi="Times New Roman"/>
        </w:rPr>
        <w:t>na minimální</w:t>
      </w:r>
      <w:r w:rsidR="00E01F45" w:rsidRPr="00E01F45">
        <w:rPr>
          <w:rFonts w:ascii="Times New Roman" w:hAnsi="Times New Roman"/>
        </w:rPr>
        <w:t xml:space="preserve"> </w:t>
      </w:r>
      <w:r w:rsidR="00E01F45">
        <w:rPr>
          <w:rFonts w:ascii="Times New Roman" w:hAnsi="Times New Roman"/>
        </w:rPr>
        <w:t>úrovni</w:t>
      </w:r>
      <w:r w:rsidRPr="00441D4D">
        <w:rPr>
          <w:rFonts w:ascii="Times New Roman" w:hAnsi="Times New Roman"/>
        </w:rPr>
        <w:t xml:space="preserve">, </w:t>
      </w:r>
      <w:r w:rsidR="00EC2C36">
        <w:rPr>
          <w:rFonts w:ascii="Times New Roman" w:hAnsi="Times New Roman"/>
        </w:rPr>
        <w:t xml:space="preserve">proto ji </w:t>
      </w:r>
      <w:r w:rsidR="009F355E" w:rsidRPr="00441D4D">
        <w:rPr>
          <w:rFonts w:ascii="Times New Roman" w:hAnsi="Times New Roman"/>
          <w:b/>
        </w:rPr>
        <w:t>doporučuji</w:t>
      </w:r>
      <w:r w:rsidR="00E01F45">
        <w:rPr>
          <w:rFonts w:ascii="Times New Roman" w:hAnsi="Times New Roman"/>
          <w:b/>
        </w:rPr>
        <w:t xml:space="preserve"> </w:t>
      </w:r>
      <w:r w:rsidR="00EC2C36">
        <w:rPr>
          <w:rFonts w:ascii="Times New Roman" w:hAnsi="Times New Roman"/>
        </w:rPr>
        <w:t>k</w:t>
      </w:r>
      <w:r w:rsidR="009F355E" w:rsidRPr="00441D4D">
        <w:rPr>
          <w:rFonts w:ascii="Times New Roman" w:hAnsi="Times New Roman"/>
        </w:rPr>
        <w:t xml:space="preserve"> obhajobě a navrhuji, aby </w:t>
      </w:r>
      <w:r w:rsidR="00BC5046">
        <w:rPr>
          <w:rFonts w:ascii="Times New Roman" w:hAnsi="Times New Roman"/>
        </w:rPr>
        <w:t>dle výsledku</w:t>
      </w:r>
      <w:r w:rsidR="009F355E" w:rsidRPr="00441D4D">
        <w:rPr>
          <w:rFonts w:ascii="Times New Roman" w:hAnsi="Times New Roman"/>
        </w:rPr>
        <w:t xml:space="preserve"> obhajob</w:t>
      </w:r>
      <w:r w:rsidR="00BC5046">
        <w:rPr>
          <w:rFonts w:ascii="Times New Roman" w:hAnsi="Times New Roman"/>
        </w:rPr>
        <w:t>y</w:t>
      </w:r>
      <w:r w:rsidR="009F355E" w:rsidRPr="00441D4D">
        <w:rPr>
          <w:rFonts w:ascii="Times New Roman" w:hAnsi="Times New Roman"/>
        </w:rPr>
        <w:t xml:space="preserve"> byla hodnocena známkou „</w:t>
      </w:r>
      <w:r w:rsidR="00EC2C36">
        <w:rPr>
          <w:rFonts w:ascii="Times New Roman" w:hAnsi="Times New Roman"/>
          <w:b/>
        </w:rPr>
        <w:t>dobře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Pr="007B1C2C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8307B5" w:rsidRPr="001F7609" w:rsidRDefault="0018301D" w:rsidP="00830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C5046">
        <w:rPr>
          <w:rFonts w:ascii="Times New Roman" w:hAnsi="Times New Roman"/>
        </w:rPr>
        <w:t>N</w:t>
      </w:r>
      <w:r w:rsidR="008307B5" w:rsidRPr="00BC5046">
        <w:rPr>
          <w:rFonts w:ascii="Times New Roman" w:hAnsi="Times New Roman"/>
        </w:rPr>
        <w:t>echť diplomant</w:t>
      </w:r>
      <w:r w:rsidR="00BC5046" w:rsidRPr="00BC5046">
        <w:rPr>
          <w:rFonts w:ascii="Times New Roman" w:hAnsi="Times New Roman"/>
        </w:rPr>
        <w:t xml:space="preserve">ka podrobně objasní závaznost rozhodnutí </w:t>
      </w:r>
      <w:r w:rsidR="00BC5046">
        <w:rPr>
          <w:rFonts w:ascii="Times New Roman" w:hAnsi="Times New Roman"/>
        </w:rPr>
        <w:t>Ústavního soudu ČR</w:t>
      </w:r>
      <w:r w:rsidR="00BC5046" w:rsidRPr="00BC5046">
        <w:rPr>
          <w:rFonts w:ascii="Times New Roman" w:hAnsi="Times New Roman"/>
        </w:rPr>
        <w:t xml:space="preserve"> a předestře </w:t>
      </w:r>
      <w:r w:rsidR="00BC5046">
        <w:rPr>
          <w:rFonts w:ascii="Times New Roman" w:hAnsi="Times New Roman"/>
        </w:rPr>
        <w:t>„</w:t>
      </w:r>
      <w:r w:rsidR="00BC5046" w:rsidRPr="001F7609">
        <w:rPr>
          <w:rFonts w:ascii="Times New Roman" w:hAnsi="Times New Roman"/>
        </w:rPr>
        <w:t>největší teoretická a praktická</w:t>
      </w:r>
      <w:r w:rsidR="00E01F45">
        <w:rPr>
          <w:rFonts w:ascii="Times New Roman" w:hAnsi="Times New Roman"/>
        </w:rPr>
        <w:t xml:space="preserve"> </w:t>
      </w:r>
      <w:proofErr w:type="spellStart"/>
      <w:r w:rsidR="00BC5046" w:rsidRPr="001F7609">
        <w:rPr>
          <w:rFonts w:ascii="Times New Roman" w:hAnsi="Times New Roman"/>
        </w:rPr>
        <w:t>interpretativní</w:t>
      </w:r>
      <w:proofErr w:type="spellEnd"/>
      <w:r w:rsidR="00E01F45">
        <w:rPr>
          <w:rFonts w:ascii="Times New Roman" w:hAnsi="Times New Roman"/>
        </w:rPr>
        <w:t xml:space="preserve"> </w:t>
      </w:r>
      <w:r w:rsidR="00BC5046" w:rsidRPr="001F7609">
        <w:rPr>
          <w:rFonts w:ascii="Times New Roman" w:hAnsi="Times New Roman"/>
        </w:rPr>
        <w:t>dilemata z hlediska činnosti Ústavního soudu,“ o kterých se zmiňuje v kapitole 3.6 práce.</w:t>
      </w:r>
    </w:p>
    <w:p w:rsidR="001F7609" w:rsidRPr="001F7609" w:rsidRDefault="001F7609" w:rsidP="00830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F7609">
        <w:rPr>
          <w:rFonts w:ascii="Times New Roman" w:hAnsi="Times New Roman"/>
          <w:sz w:val="23"/>
          <w:szCs w:val="23"/>
        </w:rPr>
        <w:t>Nechť autorka podrobně rozebere své tvrzení uvedené na straně</w:t>
      </w:r>
      <w:r>
        <w:rPr>
          <w:rFonts w:ascii="Times New Roman" w:hAnsi="Times New Roman"/>
          <w:sz w:val="23"/>
          <w:szCs w:val="23"/>
        </w:rPr>
        <w:t xml:space="preserve"> 47:</w:t>
      </w:r>
      <w:r w:rsidRPr="001F7609">
        <w:rPr>
          <w:rFonts w:ascii="Times New Roman" w:hAnsi="Times New Roman"/>
          <w:sz w:val="23"/>
          <w:szCs w:val="23"/>
        </w:rPr>
        <w:t xml:space="preserve"> „</w:t>
      </w:r>
      <w:r w:rsidRPr="001F7609">
        <w:rPr>
          <w:rFonts w:ascii="Times New Roman" w:hAnsi="Times New Roman"/>
          <w:i/>
          <w:sz w:val="23"/>
          <w:szCs w:val="23"/>
        </w:rPr>
        <w:t>Sám Ústavní soud se nejčastěji setkává s Úmluvou a štrasburskou judikaturou, často cituje rozhodnutí ESLP, což ovlivňuje i soudy obecné</w:t>
      </w:r>
      <w:r w:rsidRPr="001F7609">
        <w:rPr>
          <w:rFonts w:ascii="Times New Roman" w:hAnsi="Times New Roman"/>
          <w:sz w:val="23"/>
          <w:szCs w:val="23"/>
        </w:rPr>
        <w:t>.“ Resp. nechť uvede, co tím ko</w:t>
      </w:r>
      <w:r>
        <w:rPr>
          <w:rFonts w:ascii="Times New Roman" w:hAnsi="Times New Roman"/>
          <w:sz w:val="23"/>
          <w:szCs w:val="23"/>
        </w:rPr>
        <w:t>nkrétně měla na mysli a jak kon</w:t>
      </w:r>
      <w:r w:rsidRPr="001F7609"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r</w:t>
      </w:r>
      <w:r w:rsidRPr="001F7609">
        <w:rPr>
          <w:rFonts w:ascii="Times New Roman" w:hAnsi="Times New Roman"/>
          <w:sz w:val="23"/>
          <w:szCs w:val="23"/>
        </w:rPr>
        <w:t xml:space="preserve">étně jsou tedy </w:t>
      </w:r>
      <w:r>
        <w:rPr>
          <w:rFonts w:ascii="Times New Roman" w:hAnsi="Times New Roman"/>
          <w:sz w:val="23"/>
          <w:szCs w:val="23"/>
        </w:rPr>
        <w:t xml:space="preserve">v tomto </w:t>
      </w:r>
      <w:r w:rsidRPr="001F7609">
        <w:rPr>
          <w:rFonts w:ascii="Times New Roman" w:hAnsi="Times New Roman"/>
          <w:sz w:val="23"/>
          <w:szCs w:val="23"/>
        </w:rPr>
        <w:t>obecné soudy ovlivněny</w:t>
      </w:r>
      <w:r>
        <w:rPr>
          <w:rFonts w:ascii="Times New Roman" w:hAnsi="Times New Roman"/>
          <w:sz w:val="23"/>
          <w:szCs w:val="23"/>
        </w:rPr>
        <w:t xml:space="preserve"> a v jakých rozhodnutích se toto konkrétně projevilo</w:t>
      </w:r>
      <w:r w:rsidRPr="001F7609">
        <w:rPr>
          <w:rFonts w:ascii="Times New Roman" w:hAnsi="Times New Roman"/>
          <w:sz w:val="23"/>
          <w:szCs w:val="23"/>
        </w:rPr>
        <w:t>?</w:t>
      </w:r>
    </w:p>
    <w:p w:rsidR="00441D4D" w:rsidRPr="001F7609" w:rsidRDefault="00441D4D" w:rsidP="008307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BC5046">
        <w:rPr>
          <w:rFonts w:ascii="Times New Roman" w:hAnsi="Times New Roman"/>
        </w:rPr>
        <w:t>23</w:t>
      </w:r>
      <w:r w:rsidR="00EC2C36">
        <w:rPr>
          <w:rFonts w:ascii="Times New Roman" w:hAnsi="Times New Roman"/>
        </w:rPr>
        <w:t>. 4. 2024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</w:p>
    <w:p w:rsidR="005667DC" w:rsidRPr="00F512FA" w:rsidRDefault="005667DC" w:rsidP="005667DC">
      <w:pPr>
        <w:jc w:val="right"/>
        <w:rPr>
          <w:rFonts w:ascii="Times New Roman" w:eastAsiaTheme="minorHAnsi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60F46"/>
    <w:rsid w:val="00064C1D"/>
    <w:rsid w:val="000B6D66"/>
    <w:rsid w:val="000D65BF"/>
    <w:rsid w:val="000E15B3"/>
    <w:rsid w:val="00111B25"/>
    <w:rsid w:val="00123F26"/>
    <w:rsid w:val="00127BBE"/>
    <w:rsid w:val="001303BF"/>
    <w:rsid w:val="00157FFA"/>
    <w:rsid w:val="0018301D"/>
    <w:rsid w:val="001A7750"/>
    <w:rsid w:val="001B79CD"/>
    <w:rsid w:val="001C55EF"/>
    <w:rsid w:val="001F7609"/>
    <w:rsid w:val="002111F1"/>
    <w:rsid w:val="00245381"/>
    <w:rsid w:val="00251DC6"/>
    <w:rsid w:val="00257960"/>
    <w:rsid w:val="0026741A"/>
    <w:rsid w:val="00293417"/>
    <w:rsid w:val="002B0C65"/>
    <w:rsid w:val="003022A9"/>
    <w:rsid w:val="003168CC"/>
    <w:rsid w:val="00360DF1"/>
    <w:rsid w:val="00393B57"/>
    <w:rsid w:val="003A1559"/>
    <w:rsid w:val="00405898"/>
    <w:rsid w:val="00413693"/>
    <w:rsid w:val="00420D96"/>
    <w:rsid w:val="0042353E"/>
    <w:rsid w:val="00441D4D"/>
    <w:rsid w:val="004B4D51"/>
    <w:rsid w:val="004C0B91"/>
    <w:rsid w:val="004D65C5"/>
    <w:rsid w:val="004F2F46"/>
    <w:rsid w:val="00503695"/>
    <w:rsid w:val="00523C36"/>
    <w:rsid w:val="00557C5C"/>
    <w:rsid w:val="005655FF"/>
    <w:rsid w:val="005667DC"/>
    <w:rsid w:val="0058449B"/>
    <w:rsid w:val="005A1DAA"/>
    <w:rsid w:val="005B47DD"/>
    <w:rsid w:val="005D0037"/>
    <w:rsid w:val="005E1A70"/>
    <w:rsid w:val="005F2AED"/>
    <w:rsid w:val="005F622E"/>
    <w:rsid w:val="0060056C"/>
    <w:rsid w:val="00637792"/>
    <w:rsid w:val="00660CDC"/>
    <w:rsid w:val="00664E83"/>
    <w:rsid w:val="00693866"/>
    <w:rsid w:val="006A1813"/>
    <w:rsid w:val="006B4783"/>
    <w:rsid w:val="006C1902"/>
    <w:rsid w:val="006F0AAE"/>
    <w:rsid w:val="007026A7"/>
    <w:rsid w:val="00720252"/>
    <w:rsid w:val="00722544"/>
    <w:rsid w:val="00736BF1"/>
    <w:rsid w:val="00742E30"/>
    <w:rsid w:val="0076661D"/>
    <w:rsid w:val="00775365"/>
    <w:rsid w:val="007B1C2C"/>
    <w:rsid w:val="007B5641"/>
    <w:rsid w:val="007B63D8"/>
    <w:rsid w:val="007C66E4"/>
    <w:rsid w:val="007D5FA6"/>
    <w:rsid w:val="007E6C17"/>
    <w:rsid w:val="007F2CDF"/>
    <w:rsid w:val="0081059D"/>
    <w:rsid w:val="0081306C"/>
    <w:rsid w:val="00814911"/>
    <w:rsid w:val="00820806"/>
    <w:rsid w:val="008307B5"/>
    <w:rsid w:val="0086200F"/>
    <w:rsid w:val="0087405E"/>
    <w:rsid w:val="0087559A"/>
    <w:rsid w:val="008931A8"/>
    <w:rsid w:val="008A20C5"/>
    <w:rsid w:val="008B478B"/>
    <w:rsid w:val="008B57F3"/>
    <w:rsid w:val="0091144D"/>
    <w:rsid w:val="00914E94"/>
    <w:rsid w:val="00924DF5"/>
    <w:rsid w:val="00926C66"/>
    <w:rsid w:val="0095617F"/>
    <w:rsid w:val="00962B14"/>
    <w:rsid w:val="00970CBE"/>
    <w:rsid w:val="009845B3"/>
    <w:rsid w:val="00985A05"/>
    <w:rsid w:val="009B1D9A"/>
    <w:rsid w:val="009C402A"/>
    <w:rsid w:val="009D6355"/>
    <w:rsid w:val="009D7A03"/>
    <w:rsid w:val="009F355E"/>
    <w:rsid w:val="009F41FD"/>
    <w:rsid w:val="00A134E7"/>
    <w:rsid w:val="00A72ECB"/>
    <w:rsid w:val="00AB2342"/>
    <w:rsid w:val="00AB2916"/>
    <w:rsid w:val="00AB2D28"/>
    <w:rsid w:val="00AD07C3"/>
    <w:rsid w:val="00B26828"/>
    <w:rsid w:val="00B419CC"/>
    <w:rsid w:val="00B45DCA"/>
    <w:rsid w:val="00B71DCC"/>
    <w:rsid w:val="00B735C2"/>
    <w:rsid w:val="00B73B33"/>
    <w:rsid w:val="00B854DD"/>
    <w:rsid w:val="00B97E1D"/>
    <w:rsid w:val="00BC5046"/>
    <w:rsid w:val="00C4039F"/>
    <w:rsid w:val="00C81056"/>
    <w:rsid w:val="00C840F8"/>
    <w:rsid w:val="00C860F7"/>
    <w:rsid w:val="00C91118"/>
    <w:rsid w:val="00C91F30"/>
    <w:rsid w:val="00C95989"/>
    <w:rsid w:val="00C97F1A"/>
    <w:rsid w:val="00CA550E"/>
    <w:rsid w:val="00CB6DEE"/>
    <w:rsid w:val="00CE0F8E"/>
    <w:rsid w:val="00CE6C09"/>
    <w:rsid w:val="00CF1B86"/>
    <w:rsid w:val="00CF5C4B"/>
    <w:rsid w:val="00D0559C"/>
    <w:rsid w:val="00D06421"/>
    <w:rsid w:val="00D31BF1"/>
    <w:rsid w:val="00D377FB"/>
    <w:rsid w:val="00D97913"/>
    <w:rsid w:val="00DC716F"/>
    <w:rsid w:val="00E01F45"/>
    <w:rsid w:val="00E26DA1"/>
    <w:rsid w:val="00E956E4"/>
    <w:rsid w:val="00EC1F49"/>
    <w:rsid w:val="00EC2C36"/>
    <w:rsid w:val="00EC5930"/>
    <w:rsid w:val="00EC6F29"/>
    <w:rsid w:val="00F0514A"/>
    <w:rsid w:val="00F2088C"/>
    <w:rsid w:val="00F279BD"/>
    <w:rsid w:val="00F45E98"/>
    <w:rsid w:val="00F512FA"/>
    <w:rsid w:val="00F57C60"/>
    <w:rsid w:val="00F6337A"/>
    <w:rsid w:val="00F709DA"/>
    <w:rsid w:val="00F824C9"/>
    <w:rsid w:val="00F96FBC"/>
    <w:rsid w:val="00FA68B1"/>
    <w:rsid w:val="00FB1DED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C019-4CC8-4DDB-B83F-E6B56AE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2024-04-25T07:44:00Z</cp:lastPrinted>
  <dcterms:created xsi:type="dcterms:W3CDTF">2024-04-25T07:44:00Z</dcterms:created>
  <dcterms:modified xsi:type="dcterms:W3CDTF">2024-04-25T07:44:00Z</dcterms:modified>
</cp:coreProperties>
</file>